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87" w:rsidRPr="003E2C87" w:rsidRDefault="003E2C87" w:rsidP="003E2C87">
      <w:pPr>
        <w:widowControl/>
        <w:pBdr>
          <w:bottom w:val="single" w:sz="6" w:space="1" w:color="auto"/>
        </w:pBdr>
        <w:jc w:val="center"/>
        <w:rPr>
          <w:rFonts w:ascii="Arial" w:eastAsia="宋体" w:hAnsi="Arial" w:cs="Arial" w:hint="eastAsia"/>
          <w:vanish/>
          <w:kern w:val="0"/>
          <w:sz w:val="16"/>
          <w:szCs w:val="16"/>
        </w:rPr>
      </w:pPr>
      <w:r w:rsidRPr="003E2C87">
        <w:rPr>
          <w:rFonts w:ascii="Arial" w:eastAsia="宋体" w:hAnsi="Arial" w:cs="Arial" w:hint="eastAsia"/>
          <w:vanish/>
          <w:kern w:val="0"/>
          <w:sz w:val="16"/>
          <w:szCs w:val="16"/>
        </w:rPr>
        <w:t>窗体顶端</w:t>
      </w:r>
    </w:p>
    <w:p w:rsidR="003E2C87" w:rsidRPr="003E2C87" w:rsidRDefault="003E2C87" w:rsidP="003E2C8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amp;#23435;&amp;#20307;" w:eastAsia="宋体" w:hAnsi="&amp;#23435;&amp;#20307;" w:cs="宋体"/>
          <w:b/>
          <w:bCs/>
          <w:kern w:val="0"/>
          <w:szCs w:val="21"/>
        </w:rPr>
      </w:pPr>
      <w:r w:rsidRPr="003E2C87">
        <w:rPr>
          <w:rFonts w:ascii="&amp;#23435;&amp;#20307;" w:eastAsia="宋体" w:hAnsi="&amp;#23435;&amp;#20307;" w:cs="宋体"/>
          <w:b/>
          <w:bCs/>
          <w:kern w:val="0"/>
        </w:rPr>
        <w:t>Introduction to Translation Studies and Translation Practice</w:t>
      </w:r>
      <w:r w:rsidRPr="003E2C87">
        <w:rPr>
          <w:rFonts w:ascii="&amp;#23435;&amp;#20307;" w:eastAsia="宋体" w:hAnsi="&amp;#23435;&amp;#20307;" w:cs="宋体"/>
          <w:b/>
          <w:bCs/>
          <w:kern w:val="0"/>
          <w:szCs w:val="21"/>
        </w:rPr>
        <w:t xml:space="preserve"> </w:t>
      </w:r>
    </w:p>
    <w:p w:rsidR="003E2C87" w:rsidRPr="003E2C87" w:rsidRDefault="003E2C87" w:rsidP="003E2C8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3E2C87" w:rsidRPr="003E2C87" w:rsidTr="003E2C87">
        <w:trPr>
          <w:tblCellSpacing w:w="15" w:type="dxa"/>
        </w:trPr>
        <w:tc>
          <w:tcPr>
            <w:tcW w:w="1957"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Name：</w:t>
            </w:r>
          </w:p>
        </w:tc>
        <w:tc>
          <w:tcPr>
            <w:tcW w:w="2936"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Michael Carl</w:t>
            </w:r>
            <w:r w:rsidRPr="003E2C87">
              <w:rPr>
                <w:rFonts w:ascii="宋体" w:eastAsia="宋体" w:hAnsi="宋体" w:cs="宋体" w:hint="eastAsia"/>
                <w:color w:val="000000"/>
                <w:kern w:val="0"/>
                <w:szCs w:val="21"/>
              </w:rPr>
              <w:t xml:space="preserve"> </w:t>
            </w:r>
          </w:p>
        </w:tc>
      </w:tr>
      <w:tr w:rsidR="003E2C87" w:rsidRPr="003E2C87" w:rsidTr="003E2C87">
        <w:trPr>
          <w:tblCellSpacing w:w="15" w:type="dxa"/>
        </w:trPr>
        <w:tc>
          <w:tcPr>
            <w:tcW w:w="1957"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Nationality：</w:t>
            </w:r>
          </w:p>
        </w:tc>
        <w:tc>
          <w:tcPr>
            <w:tcW w:w="2936"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 xml:space="preserve">Germany </w:t>
            </w:r>
          </w:p>
        </w:tc>
      </w:tr>
      <w:tr w:rsidR="003E2C87" w:rsidRPr="003E2C87" w:rsidTr="003E2C87">
        <w:trPr>
          <w:tblCellSpacing w:w="15" w:type="dxa"/>
        </w:trPr>
        <w:tc>
          <w:tcPr>
            <w:tcW w:w="1957"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Academic Title：</w:t>
            </w:r>
          </w:p>
        </w:tc>
        <w:tc>
          <w:tcPr>
            <w:tcW w:w="2936"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Professor</w:t>
            </w:r>
          </w:p>
        </w:tc>
      </w:tr>
      <w:tr w:rsidR="003E2C87" w:rsidRPr="003E2C87" w:rsidTr="003E2C87">
        <w:trPr>
          <w:tblCellSpacing w:w="15" w:type="dxa"/>
        </w:trPr>
        <w:tc>
          <w:tcPr>
            <w:tcW w:w="1957"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Home University（From）：</w:t>
            </w:r>
          </w:p>
        </w:tc>
        <w:tc>
          <w:tcPr>
            <w:tcW w:w="2936"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Copengahen Business School</w:t>
            </w:r>
            <w:r w:rsidRPr="003E2C87">
              <w:rPr>
                <w:rFonts w:ascii="宋体" w:eastAsia="宋体" w:hAnsi="宋体" w:cs="宋体" w:hint="eastAsia"/>
                <w:color w:val="000000"/>
                <w:kern w:val="0"/>
                <w:szCs w:val="21"/>
              </w:rPr>
              <w:t xml:space="preserve"> </w:t>
            </w:r>
          </w:p>
        </w:tc>
      </w:tr>
      <w:tr w:rsidR="003E2C87" w:rsidRPr="003E2C87" w:rsidTr="003E2C87">
        <w:trPr>
          <w:tblCellSpacing w:w="15" w:type="dxa"/>
        </w:trPr>
        <w:tc>
          <w:tcPr>
            <w:tcW w:w="1957"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Email Address：</w:t>
            </w:r>
          </w:p>
        </w:tc>
        <w:tc>
          <w:tcPr>
            <w:tcW w:w="2936" w:type="pct"/>
            <w:vAlign w:val="center"/>
            <w:hideMark/>
          </w:tcPr>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mc.ibc@cbs.dk</w:t>
            </w:r>
            <w:r w:rsidRPr="003E2C87">
              <w:rPr>
                <w:rFonts w:ascii="宋体" w:eastAsia="宋体" w:hAnsi="宋体" w:cs="宋体" w:hint="eastAsia"/>
                <w:color w:val="000000"/>
                <w:kern w:val="0"/>
                <w:szCs w:val="21"/>
              </w:rPr>
              <w:t xml:space="preserve"> </w:t>
            </w:r>
          </w:p>
        </w:tc>
      </w:tr>
    </w:tbl>
    <w:p w:rsidR="003E2C87" w:rsidRPr="003E2C87" w:rsidRDefault="003E2C87" w:rsidP="003E2C8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szCs w:val="21"/>
        </w:rPr>
        <w:t>English</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No pre-requisites other than having English as a working language and general</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Lecture, Discussion, Hands-on sessions</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(1) Attendance and performance：30%</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(3) Hands-on exercises: 30%</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(4) Final examination：40%</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2</w:t>
      </w:r>
      <w:r w:rsidRPr="003E2C87">
        <w:rPr>
          <w:rFonts w:ascii="宋体" w:eastAsia="宋体" w:hAnsi="宋体" w:cs="宋体" w:hint="eastAsia"/>
          <w:color w:val="000000"/>
          <w:kern w:val="0"/>
          <w:szCs w:val="21"/>
        </w:rPr>
        <w:t xml:space="preserve"> credits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 xml:space="preserve">Dr. Michael Carl was born in Germany. He is a Professor mso. for Human and Machine Translation at the Copenhagen Business School/Denmark and the director of the Center for Research and Innovation in Translation and Translation Technology (CRITT) at the Institute for Business Communication. His current research interest is related to the investigation of human translation processes and interactive machine translation. Prior to his position in Denmark, he has been working on machine translation, terminology tools, and the implementation of natural language processing software. Dr. Carl has organized numerous workshops, scientific meetings and panels on translation and translation process related topics and is the organizer of the Translation Process Research summer school at the Copenhagen Business School. </w:t>
      </w:r>
      <w:r w:rsidRPr="003E2C87">
        <w:rPr>
          <w:rFonts w:ascii="宋体" w:eastAsia="宋体" w:hAnsi="宋体" w:cs="宋体" w:hint="eastAsia"/>
          <w:color w:val="000000"/>
          <w:kern w:val="0"/>
        </w:rPr>
        <w:lastRenderedPageBreak/>
        <w:t xml:space="preserve">He has published more than 150 articles on international conferences, in journals and book chapters and is the co-editor of several edited volumes on machine translation and translation research. Dr. Carl is currently on sabbatical leave at the National Institute of Informatics in Tokyo/Japan.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This summer course targets students of English, Translation, Intercultural Communication and related disciplines. It provides an introduction to translation and translation studies, the history of translation and translation theory, translation technology and translation practice. Hands-on training with licensed software will provide participants with essential state-of-the-art technological skills needed by professional language service providers.</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MODULE 1: Introducing Translation Studies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1.1: Translation Studies: discipline or multidiscipline?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1.2: Translation Studies Before the 20th century</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1.3: Contemporary Translation Studies Theory</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1.4: The Holmes/Toury Map</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MODULE 2: Translation Product and Process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2.1: Research methods in Translation Studies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2.2: The cognitive process of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2.3: Introduction to translation process research</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2.4: Corpus-based translation studies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MODULE 3: Translation Technologies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3.1: Computer-Assisted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Hands-on session for Lecture 3.1</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3.2: Introduction to Machine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Hands-on session for Lecture 3.2</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3.3: The CasMaCat/SeeCat workbench</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Hands-on session for Lecture 3.3</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Lecture 3.4: Translog-II experiments: an overview</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Hands-on session for Lecture 3.4</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N/A</w:t>
      </w:r>
      <w:r w:rsidRPr="003E2C87">
        <w:rPr>
          <w:rFonts w:ascii="宋体" w:eastAsia="宋体" w:hAnsi="宋体" w:cs="宋体" w:hint="eastAsia"/>
          <w:color w:val="000000"/>
          <w:kern w:val="0"/>
          <w:szCs w:val="21"/>
        </w:rPr>
        <w:t xml:space="preserve"> </w:t>
      </w:r>
    </w:p>
    <w:p w:rsidR="003E2C87" w:rsidRPr="003E2C87" w:rsidRDefault="003E2C87" w:rsidP="003E2C8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3E2C87" w:rsidRPr="003E2C87" w:rsidRDefault="003E2C87" w:rsidP="003E2C87">
      <w:pPr>
        <w:widowControl/>
        <w:jc w:val="left"/>
        <w:rPr>
          <w:rFonts w:ascii="宋体" w:eastAsia="宋体" w:hAnsi="宋体" w:cs="宋体"/>
          <w:color w:val="000000"/>
          <w:kern w:val="0"/>
          <w:szCs w:val="21"/>
        </w:rPr>
      </w:pPr>
      <w:r w:rsidRPr="003E2C87">
        <w:rPr>
          <w:rFonts w:ascii="宋体" w:eastAsia="宋体" w:hAnsi="宋体" w:cs="宋体" w:hint="eastAsia"/>
          <w:color w:val="000000"/>
          <w:kern w:val="0"/>
        </w:rPr>
        <w:t>Baker, Mona, and Gabriela Saldanha (eds). 2009. Routledge Encyclopedia of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Studies. Second edition. London/New 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Bermann, Sandra, and Catherine Porter (eds). 2014. A Companion to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Studies. Malden/Oxford: Wiley Blackwell. Oxford: Oxford University Press.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Gambier, Yves, and Luc van Doorslaer (eds). 2010-2013. Handbook of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lastRenderedPageBreak/>
        <w:t>Studies. 4 vols. Amsterdam/Philadelphia: John Benjamins. Online at http://www.benjamins.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com/online/hts/.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Hermans, Theo. 2014 (1999). Translation in Systems. Descriptive and System-oriented</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Approaches Explained. Abingdon/New 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Malmkjær, Kirsten, and Kevin Windle (eds). 2011. The Oxford Handbook of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Studies. Oxford: Oxford University Press.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Munday, Jeremy. 2012. Introducing Translation Studies. Theories and Applications.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Third edition. Abingdon/New 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Pym, Anthony. 2014. Exploring Translation Theories. Second edition. London/New</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Pöchhacker, Franz. 2004. Introducing Interpreting Studies. London/New 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Saldanha, Gabriela, and Sharon O’Brien. 2013. Research Methodologies in Translation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Studies. Manchester: St Jerome.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Toury, Gideon. 2012. Descriptive Translation Studies and Beyond. Revised edition.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Amsterdam/Philadelphia: John Benjamins.</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Venuti, Lawrence (ed.). 2012. The Translation Studies Reader. Third edition.</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London/New York: Routledge.</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Williams, Jenny, and Andrew Chesterman. 2011. The Map: A Beginner’s Guide to</w:t>
      </w:r>
      <w:r w:rsidRPr="003E2C87">
        <w:rPr>
          <w:rFonts w:ascii="宋体" w:eastAsia="宋体" w:hAnsi="宋体" w:cs="宋体" w:hint="eastAsia"/>
          <w:color w:val="000000"/>
          <w:kern w:val="0"/>
          <w:szCs w:val="21"/>
        </w:rPr>
        <w:br/>
      </w:r>
      <w:r w:rsidRPr="003E2C87">
        <w:rPr>
          <w:rFonts w:ascii="宋体" w:eastAsia="宋体" w:hAnsi="宋体" w:cs="宋体" w:hint="eastAsia"/>
          <w:color w:val="000000"/>
          <w:kern w:val="0"/>
        </w:rPr>
        <w:t>Doing Research in Translation Studies. Fifth edition. Manchester: St Jerome.</w:t>
      </w:r>
      <w:r w:rsidRPr="003E2C87">
        <w:rPr>
          <w:rFonts w:ascii="宋体" w:eastAsia="宋体" w:hAnsi="宋体" w:cs="宋体" w:hint="eastAsia"/>
          <w:color w:val="000000"/>
          <w:kern w:val="0"/>
          <w:szCs w:val="21"/>
        </w:rPr>
        <w:t xml:space="preserve"> </w:t>
      </w:r>
    </w:p>
    <w:p w:rsidR="003E2C87" w:rsidRPr="003E2C87" w:rsidRDefault="003E2C87" w:rsidP="003E2C87">
      <w:pPr>
        <w:widowControl/>
        <w:pBdr>
          <w:top w:val="single" w:sz="6" w:space="1" w:color="auto"/>
        </w:pBdr>
        <w:jc w:val="center"/>
        <w:rPr>
          <w:rFonts w:ascii="Arial" w:eastAsia="宋体" w:hAnsi="Arial" w:cs="Arial" w:hint="eastAsia"/>
          <w:vanish/>
          <w:kern w:val="0"/>
          <w:sz w:val="16"/>
          <w:szCs w:val="16"/>
        </w:rPr>
      </w:pPr>
      <w:r w:rsidRPr="003E2C87">
        <w:rPr>
          <w:rFonts w:ascii="Arial" w:eastAsia="宋体" w:hAnsi="Arial" w:cs="Arial" w:hint="eastAsia"/>
          <w:vanish/>
          <w:kern w:val="0"/>
          <w:sz w:val="16"/>
          <w:szCs w:val="16"/>
        </w:rPr>
        <w:t>窗体底端</w:t>
      </w:r>
    </w:p>
    <w:p w:rsidR="00D8786D" w:rsidRDefault="00D8786D"/>
    <w:sectPr w:rsidR="00D8786D" w:rsidSect="00D878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2C87"/>
    <w:rsid w:val="003E2C87"/>
    <w:rsid w:val="00D87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3E2C8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E2C87"/>
    <w:rPr>
      <w:rFonts w:ascii="Arial" w:eastAsia="宋体" w:hAnsi="Arial" w:cs="Arial"/>
      <w:vanish/>
      <w:kern w:val="0"/>
      <w:sz w:val="16"/>
      <w:szCs w:val="16"/>
    </w:rPr>
  </w:style>
  <w:style w:type="character" w:customStyle="1" w:styleId="u-span">
    <w:name w:val="u-span"/>
    <w:basedOn w:val="a0"/>
    <w:rsid w:val="003E2C87"/>
  </w:style>
  <w:style w:type="paragraph" w:styleId="z-0">
    <w:name w:val="HTML Bottom of Form"/>
    <w:basedOn w:val="a"/>
    <w:next w:val="a"/>
    <w:link w:val="z-Char0"/>
    <w:hidden/>
    <w:uiPriority w:val="99"/>
    <w:semiHidden/>
    <w:unhideWhenUsed/>
    <w:rsid w:val="003E2C8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E2C87"/>
    <w:rPr>
      <w:rFonts w:ascii="Arial" w:eastAsia="宋体" w:hAnsi="Arial" w:cs="Arial"/>
      <w:vanish/>
      <w:kern w:val="0"/>
      <w:sz w:val="16"/>
      <w:szCs w:val="16"/>
    </w:rPr>
  </w:style>
  <w:style w:type="paragraph" w:styleId="a3">
    <w:name w:val="Balloon Text"/>
    <w:basedOn w:val="a"/>
    <w:link w:val="Char"/>
    <w:uiPriority w:val="99"/>
    <w:semiHidden/>
    <w:unhideWhenUsed/>
    <w:rsid w:val="003E2C87"/>
    <w:rPr>
      <w:sz w:val="18"/>
      <w:szCs w:val="18"/>
    </w:rPr>
  </w:style>
  <w:style w:type="character" w:customStyle="1" w:styleId="Char">
    <w:name w:val="批注框文本 Char"/>
    <w:basedOn w:val="a0"/>
    <w:link w:val="a3"/>
    <w:uiPriority w:val="99"/>
    <w:semiHidden/>
    <w:rsid w:val="003E2C87"/>
    <w:rPr>
      <w:sz w:val="18"/>
      <w:szCs w:val="18"/>
    </w:rPr>
  </w:style>
</w:styles>
</file>

<file path=word/webSettings.xml><?xml version="1.0" encoding="utf-8"?>
<w:webSettings xmlns:r="http://schemas.openxmlformats.org/officeDocument/2006/relationships" xmlns:w="http://schemas.openxmlformats.org/wordprocessingml/2006/main">
  <w:divs>
    <w:div w:id="880243722">
      <w:bodyDiv w:val="1"/>
      <w:marLeft w:val="0"/>
      <w:marRight w:val="0"/>
      <w:marTop w:val="0"/>
      <w:marBottom w:val="0"/>
      <w:divBdr>
        <w:top w:val="none" w:sz="0" w:space="0" w:color="auto"/>
        <w:left w:val="none" w:sz="0" w:space="0" w:color="auto"/>
        <w:bottom w:val="none" w:sz="0" w:space="0" w:color="auto"/>
        <w:right w:val="none" w:sz="0" w:space="0" w:color="auto"/>
      </w:divBdr>
      <w:divsChild>
        <w:div w:id="149365900">
          <w:marLeft w:val="408"/>
          <w:marRight w:val="0"/>
          <w:marTop w:val="136"/>
          <w:marBottom w:val="0"/>
          <w:divBdr>
            <w:top w:val="none" w:sz="0" w:space="0" w:color="auto"/>
            <w:left w:val="none" w:sz="0" w:space="0" w:color="auto"/>
            <w:bottom w:val="none" w:sz="0" w:space="0" w:color="auto"/>
            <w:right w:val="none" w:sz="0" w:space="0" w:color="auto"/>
          </w:divBdr>
          <w:divsChild>
            <w:div w:id="321931892">
              <w:marLeft w:val="0"/>
              <w:marRight w:val="0"/>
              <w:marTop w:val="0"/>
              <w:marBottom w:val="0"/>
              <w:divBdr>
                <w:top w:val="none" w:sz="0" w:space="0" w:color="auto"/>
                <w:left w:val="none" w:sz="0" w:space="0" w:color="auto"/>
                <w:bottom w:val="none" w:sz="0" w:space="0" w:color="auto"/>
                <w:right w:val="none" w:sz="0" w:space="0" w:color="auto"/>
              </w:divBdr>
            </w:div>
            <w:div w:id="1736589086">
              <w:marLeft w:val="0"/>
              <w:marRight w:val="0"/>
              <w:marTop w:val="136"/>
              <w:marBottom w:val="136"/>
              <w:divBdr>
                <w:top w:val="none" w:sz="0" w:space="0" w:color="auto"/>
                <w:left w:val="none" w:sz="0" w:space="0" w:color="auto"/>
                <w:bottom w:val="none" w:sz="0" w:space="0" w:color="auto"/>
                <w:right w:val="none" w:sz="0" w:space="0" w:color="auto"/>
              </w:divBdr>
            </w:div>
          </w:divsChild>
        </w:div>
        <w:div w:id="1103767678">
          <w:marLeft w:val="408"/>
          <w:marRight w:val="0"/>
          <w:marTop w:val="136"/>
          <w:marBottom w:val="136"/>
          <w:divBdr>
            <w:top w:val="none" w:sz="0" w:space="0" w:color="auto"/>
            <w:left w:val="none" w:sz="0" w:space="0" w:color="auto"/>
            <w:bottom w:val="none" w:sz="0" w:space="0" w:color="auto"/>
            <w:right w:val="none" w:sz="0" w:space="0" w:color="auto"/>
          </w:divBdr>
          <w:divsChild>
            <w:div w:id="562300301">
              <w:marLeft w:val="0"/>
              <w:marRight w:val="0"/>
              <w:marTop w:val="0"/>
              <w:marBottom w:val="0"/>
              <w:divBdr>
                <w:top w:val="none" w:sz="0" w:space="0" w:color="auto"/>
                <w:left w:val="none" w:sz="0" w:space="0" w:color="auto"/>
                <w:bottom w:val="none" w:sz="0" w:space="0" w:color="auto"/>
                <w:right w:val="none" w:sz="0" w:space="0" w:color="auto"/>
              </w:divBdr>
            </w:div>
            <w:div w:id="1929146998">
              <w:marLeft w:val="0"/>
              <w:marRight w:val="0"/>
              <w:marTop w:val="0"/>
              <w:marBottom w:val="0"/>
              <w:divBdr>
                <w:top w:val="none" w:sz="0" w:space="0" w:color="auto"/>
                <w:left w:val="none" w:sz="0" w:space="0" w:color="auto"/>
                <w:bottom w:val="none" w:sz="0" w:space="0" w:color="auto"/>
                <w:right w:val="none" w:sz="0" w:space="0" w:color="auto"/>
              </w:divBdr>
              <w:divsChild>
                <w:div w:id="37706917">
                  <w:marLeft w:val="0"/>
                  <w:marRight w:val="0"/>
                  <w:marTop w:val="0"/>
                  <w:marBottom w:val="0"/>
                  <w:divBdr>
                    <w:top w:val="none" w:sz="0" w:space="0" w:color="auto"/>
                    <w:left w:val="none" w:sz="0" w:space="0" w:color="auto"/>
                    <w:bottom w:val="none" w:sz="0" w:space="0" w:color="auto"/>
                    <w:right w:val="none" w:sz="0" w:space="0" w:color="auto"/>
                  </w:divBdr>
                </w:div>
                <w:div w:id="13805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433">
          <w:marLeft w:val="408"/>
          <w:marRight w:val="0"/>
          <w:marTop w:val="136"/>
          <w:marBottom w:val="136"/>
          <w:divBdr>
            <w:top w:val="none" w:sz="0" w:space="0" w:color="auto"/>
            <w:left w:val="none" w:sz="0" w:space="0" w:color="auto"/>
            <w:bottom w:val="none" w:sz="0" w:space="0" w:color="auto"/>
            <w:right w:val="none" w:sz="0" w:space="0" w:color="auto"/>
          </w:divBdr>
          <w:divsChild>
            <w:div w:id="188107704">
              <w:marLeft w:val="0"/>
              <w:marRight w:val="0"/>
              <w:marTop w:val="0"/>
              <w:marBottom w:val="0"/>
              <w:divBdr>
                <w:top w:val="none" w:sz="0" w:space="0" w:color="auto"/>
                <w:left w:val="none" w:sz="0" w:space="0" w:color="auto"/>
                <w:bottom w:val="none" w:sz="0" w:space="0" w:color="auto"/>
                <w:right w:val="none" w:sz="0" w:space="0" w:color="auto"/>
              </w:divBdr>
            </w:div>
          </w:divsChild>
        </w:div>
        <w:div w:id="1190726074">
          <w:marLeft w:val="408"/>
          <w:marRight w:val="0"/>
          <w:marTop w:val="136"/>
          <w:marBottom w:val="136"/>
          <w:divBdr>
            <w:top w:val="none" w:sz="0" w:space="0" w:color="auto"/>
            <w:left w:val="none" w:sz="0" w:space="0" w:color="auto"/>
            <w:bottom w:val="none" w:sz="0" w:space="0" w:color="auto"/>
            <w:right w:val="none" w:sz="0" w:space="0" w:color="auto"/>
          </w:divBdr>
          <w:divsChild>
            <w:div w:id="1748720936">
              <w:marLeft w:val="0"/>
              <w:marRight w:val="0"/>
              <w:marTop w:val="0"/>
              <w:marBottom w:val="0"/>
              <w:divBdr>
                <w:top w:val="none" w:sz="0" w:space="0" w:color="auto"/>
                <w:left w:val="none" w:sz="0" w:space="0" w:color="auto"/>
                <w:bottom w:val="none" w:sz="0" w:space="0" w:color="auto"/>
                <w:right w:val="none" w:sz="0" w:space="0" w:color="auto"/>
              </w:divBdr>
            </w:div>
            <w:div w:id="396780593">
              <w:marLeft w:val="0"/>
              <w:marRight w:val="0"/>
              <w:marTop w:val="0"/>
              <w:marBottom w:val="0"/>
              <w:divBdr>
                <w:top w:val="none" w:sz="0" w:space="0" w:color="auto"/>
                <w:left w:val="none" w:sz="0" w:space="0" w:color="auto"/>
                <w:bottom w:val="none" w:sz="0" w:space="0" w:color="auto"/>
                <w:right w:val="none" w:sz="0" w:space="0" w:color="auto"/>
              </w:divBdr>
              <w:divsChild>
                <w:div w:id="18597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5797">
          <w:marLeft w:val="408"/>
          <w:marRight w:val="0"/>
          <w:marTop w:val="136"/>
          <w:marBottom w:val="136"/>
          <w:divBdr>
            <w:top w:val="none" w:sz="0" w:space="0" w:color="auto"/>
            <w:left w:val="none" w:sz="0" w:space="0" w:color="auto"/>
            <w:bottom w:val="none" w:sz="0" w:space="0" w:color="auto"/>
            <w:right w:val="none" w:sz="0" w:space="0" w:color="auto"/>
          </w:divBdr>
          <w:divsChild>
            <w:div w:id="544567738">
              <w:marLeft w:val="0"/>
              <w:marRight w:val="0"/>
              <w:marTop w:val="0"/>
              <w:marBottom w:val="0"/>
              <w:divBdr>
                <w:top w:val="none" w:sz="0" w:space="0" w:color="auto"/>
                <w:left w:val="none" w:sz="0" w:space="0" w:color="auto"/>
                <w:bottom w:val="none" w:sz="0" w:space="0" w:color="auto"/>
                <w:right w:val="none" w:sz="0" w:space="0" w:color="auto"/>
              </w:divBdr>
            </w:div>
            <w:div w:id="466439011">
              <w:marLeft w:val="0"/>
              <w:marRight w:val="0"/>
              <w:marTop w:val="0"/>
              <w:marBottom w:val="0"/>
              <w:divBdr>
                <w:top w:val="none" w:sz="0" w:space="0" w:color="auto"/>
                <w:left w:val="none" w:sz="0" w:space="0" w:color="auto"/>
                <w:bottom w:val="none" w:sz="0" w:space="0" w:color="auto"/>
                <w:right w:val="none" w:sz="0" w:space="0" w:color="auto"/>
              </w:divBdr>
            </w:div>
          </w:divsChild>
        </w:div>
        <w:div w:id="343552062">
          <w:marLeft w:val="408"/>
          <w:marRight w:val="0"/>
          <w:marTop w:val="136"/>
          <w:marBottom w:val="136"/>
          <w:divBdr>
            <w:top w:val="none" w:sz="0" w:space="0" w:color="auto"/>
            <w:left w:val="none" w:sz="0" w:space="0" w:color="auto"/>
            <w:bottom w:val="none" w:sz="0" w:space="0" w:color="auto"/>
            <w:right w:val="none" w:sz="0" w:space="0" w:color="auto"/>
          </w:divBdr>
          <w:divsChild>
            <w:div w:id="1449546287">
              <w:marLeft w:val="0"/>
              <w:marRight w:val="0"/>
              <w:marTop w:val="0"/>
              <w:marBottom w:val="0"/>
              <w:divBdr>
                <w:top w:val="none" w:sz="0" w:space="0" w:color="auto"/>
                <w:left w:val="none" w:sz="0" w:space="0" w:color="auto"/>
                <w:bottom w:val="none" w:sz="0" w:space="0" w:color="auto"/>
                <w:right w:val="none" w:sz="0" w:space="0" w:color="auto"/>
              </w:divBdr>
            </w:div>
            <w:div w:id="2018115935">
              <w:marLeft w:val="0"/>
              <w:marRight w:val="0"/>
              <w:marTop w:val="0"/>
              <w:marBottom w:val="0"/>
              <w:divBdr>
                <w:top w:val="none" w:sz="0" w:space="0" w:color="auto"/>
                <w:left w:val="none" w:sz="0" w:space="0" w:color="auto"/>
                <w:bottom w:val="none" w:sz="0" w:space="0" w:color="auto"/>
                <w:right w:val="none" w:sz="0" w:space="0" w:color="auto"/>
              </w:divBdr>
            </w:div>
          </w:divsChild>
        </w:div>
        <w:div w:id="1038748118">
          <w:marLeft w:val="408"/>
          <w:marRight w:val="0"/>
          <w:marTop w:val="136"/>
          <w:marBottom w:val="136"/>
          <w:divBdr>
            <w:top w:val="none" w:sz="0" w:space="0" w:color="auto"/>
            <w:left w:val="none" w:sz="0" w:space="0" w:color="auto"/>
            <w:bottom w:val="none" w:sz="0" w:space="0" w:color="auto"/>
            <w:right w:val="none" w:sz="0" w:space="0" w:color="auto"/>
          </w:divBdr>
          <w:divsChild>
            <w:div w:id="1139154204">
              <w:marLeft w:val="0"/>
              <w:marRight w:val="0"/>
              <w:marTop w:val="0"/>
              <w:marBottom w:val="0"/>
              <w:divBdr>
                <w:top w:val="none" w:sz="0" w:space="0" w:color="auto"/>
                <w:left w:val="none" w:sz="0" w:space="0" w:color="auto"/>
                <w:bottom w:val="none" w:sz="0" w:space="0" w:color="auto"/>
                <w:right w:val="none" w:sz="0" w:space="0" w:color="auto"/>
              </w:divBdr>
            </w:div>
            <w:div w:id="1116406762">
              <w:marLeft w:val="0"/>
              <w:marRight w:val="0"/>
              <w:marTop w:val="0"/>
              <w:marBottom w:val="0"/>
              <w:divBdr>
                <w:top w:val="none" w:sz="0" w:space="0" w:color="auto"/>
                <w:left w:val="none" w:sz="0" w:space="0" w:color="auto"/>
                <w:bottom w:val="none" w:sz="0" w:space="0" w:color="auto"/>
                <w:right w:val="none" w:sz="0" w:space="0" w:color="auto"/>
              </w:divBdr>
            </w:div>
          </w:divsChild>
        </w:div>
        <w:div w:id="1848405647">
          <w:marLeft w:val="408"/>
          <w:marRight w:val="0"/>
          <w:marTop w:val="136"/>
          <w:marBottom w:val="136"/>
          <w:divBdr>
            <w:top w:val="none" w:sz="0" w:space="0" w:color="auto"/>
            <w:left w:val="none" w:sz="0" w:space="0" w:color="auto"/>
            <w:bottom w:val="none" w:sz="0" w:space="0" w:color="auto"/>
            <w:right w:val="none" w:sz="0" w:space="0" w:color="auto"/>
          </w:divBdr>
          <w:divsChild>
            <w:div w:id="1908568532">
              <w:marLeft w:val="0"/>
              <w:marRight w:val="0"/>
              <w:marTop w:val="0"/>
              <w:marBottom w:val="0"/>
              <w:divBdr>
                <w:top w:val="none" w:sz="0" w:space="0" w:color="auto"/>
                <w:left w:val="none" w:sz="0" w:space="0" w:color="auto"/>
                <w:bottom w:val="none" w:sz="0" w:space="0" w:color="auto"/>
                <w:right w:val="none" w:sz="0" w:space="0" w:color="auto"/>
              </w:divBdr>
            </w:div>
            <w:div w:id="1851524653">
              <w:marLeft w:val="0"/>
              <w:marRight w:val="0"/>
              <w:marTop w:val="0"/>
              <w:marBottom w:val="0"/>
              <w:divBdr>
                <w:top w:val="none" w:sz="0" w:space="0" w:color="auto"/>
                <w:left w:val="none" w:sz="0" w:space="0" w:color="auto"/>
                <w:bottom w:val="none" w:sz="0" w:space="0" w:color="auto"/>
                <w:right w:val="none" w:sz="0" w:space="0" w:color="auto"/>
              </w:divBdr>
            </w:div>
          </w:divsChild>
        </w:div>
        <w:div w:id="285240257">
          <w:marLeft w:val="408"/>
          <w:marRight w:val="0"/>
          <w:marTop w:val="136"/>
          <w:marBottom w:val="136"/>
          <w:divBdr>
            <w:top w:val="none" w:sz="0" w:space="0" w:color="auto"/>
            <w:left w:val="none" w:sz="0" w:space="0" w:color="auto"/>
            <w:bottom w:val="none" w:sz="0" w:space="0" w:color="auto"/>
            <w:right w:val="none" w:sz="0" w:space="0" w:color="auto"/>
          </w:divBdr>
          <w:divsChild>
            <w:div w:id="2106680973">
              <w:marLeft w:val="0"/>
              <w:marRight w:val="0"/>
              <w:marTop w:val="0"/>
              <w:marBottom w:val="0"/>
              <w:divBdr>
                <w:top w:val="none" w:sz="0" w:space="0" w:color="auto"/>
                <w:left w:val="none" w:sz="0" w:space="0" w:color="auto"/>
                <w:bottom w:val="none" w:sz="0" w:space="0" w:color="auto"/>
                <w:right w:val="none" w:sz="0" w:space="0" w:color="auto"/>
              </w:divBdr>
            </w:div>
            <w:div w:id="1736204095">
              <w:marLeft w:val="0"/>
              <w:marRight w:val="0"/>
              <w:marTop w:val="0"/>
              <w:marBottom w:val="0"/>
              <w:divBdr>
                <w:top w:val="none" w:sz="0" w:space="0" w:color="auto"/>
                <w:left w:val="none" w:sz="0" w:space="0" w:color="auto"/>
                <w:bottom w:val="none" w:sz="0" w:space="0" w:color="auto"/>
                <w:right w:val="none" w:sz="0" w:space="0" w:color="auto"/>
              </w:divBdr>
            </w:div>
          </w:divsChild>
        </w:div>
        <w:div w:id="592739226">
          <w:marLeft w:val="408"/>
          <w:marRight w:val="0"/>
          <w:marTop w:val="136"/>
          <w:marBottom w:val="136"/>
          <w:divBdr>
            <w:top w:val="none" w:sz="0" w:space="0" w:color="auto"/>
            <w:left w:val="none" w:sz="0" w:space="0" w:color="auto"/>
            <w:bottom w:val="none" w:sz="0" w:space="0" w:color="auto"/>
            <w:right w:val="none" w:sz="0" w:space="0" w:color="auto"/>
          </w:divBdr>
          <w:divsChild>
            <w:div w:id="1669595326">
              <w:marLeft w:val="0"/>
              <w:marRight w:val="0"/>
              <w:marTop w:val="0"/>
              <w:marBottom w:val="0"/>
              <w:divBdr>
                <w:top w:val="none" w:sz="0" w:space="0" w:color="auto"/>
                <w:left w:val="none" w:sz="0" w:space="0" w:color="auto"/>
                <w:bottom w:val="none" w:sz="0" w:space="0" w:color="auto"/>
                <w:right w:val="none" w:sz="0" w:space="0" w:color="auto"/>
              </w:divBdr>
            </w:div>
            <w:div w:id="1901935971">
              <w:marLeft w:val="0"/>
              <w:marRight w:val="0"/>
              <w:marTop w:val="0"/>
              <w:marBottom w:val="0"/>
              <w:divBdr>
                <w:top w:val="none" w:sz="0" w:space="0" w:color="auto"/>
                <w:left w:val="none" w:sz="0" w:space="0" w:color="auto"/>
                <w:bottom w:val="none" w:sz="0" w:space="0" w:color="auto"/>
                <w:right w:val="none" w:sz="0" w:space="0" w:color="auto"/>
              </w:divBdr>
            </w:div>
          </w:divsChild>
        </w:div>
        <w:div w:id="2013335579">
          <w:marLeft w:val="408"/>
          <w:marRight w:val="0"/>
          <w:marTop w:val="136"/>
          <w:marBottom w:val="136"/>
          <w:divBdr>
            <w:top w:val="none" w:sz="0" w:space="0" w:color="auto"/>
            <w:left w:val="none" w:sz="0" w:space="0" w:color="auto"/>
            <w:bottom w:val="none" w:sz="0" w:space="0" w:color="auto"/>
            <w:right w:val="none" w:sz="0" w:space="0" w:color="auto"/>
          </w:divBdr>
          <w:divsChild>
            <w:div w:id="1888176851">
              <w:marLeft w:val="0"/>
              <w:marRight w:val="0"/>
              <w:marTop w:val="0"/>
              <w:marBottom w:val="0"/>
              <w:divBdr>
                <w:top w:val="none" w:sz="0" w:space="0" w:color="auto"/>
                <w:left w:val="none" w:sz="0" w:space="0" w:color="auto"/>
                <w:bottom w:val="none" w:sz="0" w:space="0" w:color="auto"/>
                <w:right w:val="none" w:sz="0" w:space="0" w:color="auto"/>
              </w:divBdr>
            </w:div>
            <w:div w:id="394201035">
              <w:marLeft w:val="0"/>
              <w:marRight w:val="0"/>
              <w:marTop w:val="0"/>
              <w:marBottom w:val="0"/>
              <w:divBdr>
                <w:top w:val="none" w:sz="0" w:space="0" w:color="auto"/>
                <w:left w:val="none" w:sz="0" w:space="0" w:color="auto"/>
                <w:bottom w:val="none" w:sz="0" w:space="0" w:color="auto"/>
                <w:right w:val="none" w:sz="0" w:space="0" w:color="auto"/>
              </w:divBdr>
            </w:div>
          </w:divsChild>
        </w:div>
        <w:div w:id="1352803576">
          <w:marLeft w:val="408"/>
          <w:marRight w:val="0"/>
          <w:marTop w:val="136"/>
          <w:marBottom w:val="136"/>
          <w:divBdr>
            <w:top w:val="none" w:sz="0" w:space="0" w:color="auto"/>
            <w:left w:val="none" w:sz="0" w:space="0" w:color="auto"/>
            <w:bottom w:val="none" w:sz="0" w:space="0" w:color="auto"/>
            <w:right w:val="none" w:sz="0" w:space="0" w:color="auto"/>
          </w:divBdr>
          <w:divsChild>
            <w:div w:id="1929271431">
              <w:marLeft w:val="0"/>
              <w:marRight w:val="0"/>
              <w:marTop w:val="0"/>
              <w:marBottom w:val="0"/>
              <w:divBdr>
                <w:top w:val="none" w:sz="0" w:space="0" w:color="auto"/>
                <w:left w:val="none" w:sz="0" w:space="0" w:color="auto"/>
                <w:bottom w:val="none" w:sz="0" w:space="0" w:color="auto"/>
                <w:right w:val="none" w:sz="0" w:space="0" w:color="auto"/>
              </w:divBdr>
            </w:div>
            <w:div w:id="1197351740">
              <w:marLeft w:val="0"/>
              <w:marRight w:val="0"/>
              <w:marTop w:val="0"/>
              <w:marBottom w:val="0"/>
              <w:divBdr>
                <w:top w:val="none" w:sz="0" w:space="0" w:color="auto"/>
                <w:left w:val="none" w:sz="0" w:space="0" w:color="auto"/>
                <w:bottom w:val="none" w:sz="0" w:space="0" w:color="auto"/>
                <w:right w:val="none" w:sz="0" w:space="0" w:color="auto"/>
              </w:divBdr>
            </w:div>
          </w:divsChild>
        </w:div>
        <w:div w:id="444274918">
          <w:marLeft w:val="408"/>
          <w:marRight w:val="0"/>
          <w:marTop w:val="136"/>
          <w:marBottom w:val="136"/>
          <w:divBdr>
            <w:top w:val="none" w:sz="0" w:space="0" w:color="auto"/>
            <w:left w:val="none" w:sz="0" w:space="0" w:color="auto"/>
            <w:bottom w:val="none" w:sz="0" w:space="0" w:color="auto"/>
            <w:right w:val="none" w:sz="0" w:space="0" w:color="auto"/>
          </w:divBdr>
          <w:divsChild>
            <w:div w:id="1585870020">
              <w:marLeft w:val="0"/>
              <w:marRight w:val="0"/>
              <w:marTop w:val="0"/>
              <w:marBottom w:val="0"/>
              <w:divBdr>
                <w:top w:val="none" w:sz="0" w:space="0" w:color="auto"/>
                <w:left w:val="none" w:sz="0" w:space="0" w:color="auto"/>
                <w:bottom w:val="none" w:sz="0" w:space="0" w:color="auto"/>
                <w:right w:val="none" w:sz="0" w:space="0" w:color="auto"/>
              </w:divBdr>
            </w:div>
            <w:div w:id="5210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2016-02-22T03:07:00Z</dcterms:created>
  <dcterms:modified xsi:type="dcterms:W3CDTF">2016-02-22T03:07:00Z</dcterms:modified>
</cp:coreProperties>
</file>