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E7" w:rsidRPr="00A729E7" w:rsidRDefault="00A729E7" w:rsidP="00A729E7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729E7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725295" cy="259080"/>
            <wp:effectExtent l="19050" t="0" r="8255" b="0"/>
            <wp:docPr id="22" name="图片 22" descr="http://portal.ruc.edu.cn/ruciss/iss/eduadmini/courseadmin/kcxxxzimg/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rtal.ruc.edu.cn/ruciss/iss/eduadmini/courseadmin/kcxxxzimg/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&amp;#23435;&amp;#20307;" w:eastAsia="宋体" w:hAnsi="&amp;#23435;&amp;#20307;" w:cs="宋体"/>
          <w:b/>
          <w:bCs/>
          <w:kern w:val="0"/>
          <w:szCs w:val="21"/>
        </w:rPr>
      </w:pPr>
      <w:r w:rsidRPr="00A729E7">
        <w:rPr>
          <w:rFonts w:ascii="&amp;#23435;&amp;#20307;" w:eastAsia="宋体" w:hAnsi="&amp;#23435;&amp;#20307;" w:cs="宋体"/>
          <w:b/>
          <w:bCs/>
          <w:kern w:val="0"/>
        </w:rPr>
        <w:t>Hedge Fund and Its Strategies)</w:t>
      </w:r>
      <w:r w:rsidRPr="00A729E7">
        <w:rPr>
          <w:rFonts w:ascii="&amp;#23435;&amp;#20307;" w:eastAsia="宋体" w:hAnsi="&amp;#23435;&amp;#20307;" w:cs="宋体"/>
          <w:b/>
          <w:bCs/>
          <w:kern w:val="0"/>
          <w:szCs w:val="21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41300"/>
            <wp:effectExtent l="19050" t="0" r="0" b="0"/>
            <wp:docPr id="23" name="图片 23" descr="http://portal.ruc.edu.cn/ruciss/iss/eduadmini/courseadmin/kcxxxzimg/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rtal.ruc.edu.cn/ruciss/iss/eduadmini/courseadmin/kcxxxzimg/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2510"/>
      </w:tblGrid>
      <w:tr w:rsidR="00A729E7" w:rsidRPr="00A729E7" w:rsidTr="00A729E7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Name：</w:t>
            </w:r>
          </w:p>
        </w:tc>
        <w:tc>
          <w:tcPr>
            <w:tcW w:w="2936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  <w:proofErr w:type="spellStart"/>
            <w:r w:rsidRPr="00A729E7">
              <w:rPr>
                <w:rFonts w:ascii="宋体" w:eastAsia="宋体" w:hAnsi="宋体" w:cs="宋体" w:hint="eastAsia"/>
                <w:color w:val="000000"/>
                <w:kern w:val="0"/>
              </w:rPr>
              <w:t>Zhenya</w:t>
            </w:r>
            <w:proofErr w:type="spellEnd"/>
            <w:r w:rsidRPr="00A729E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Liu </w:t>
            </w:r>
          </w:p>
        </w:tc>
      </w:tr>
      <w:tr w:rsidR="00A729E7" w:rsidRPr="00A729E7" w:rsidTr="00A729E7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Nationality：</w:t>
            </w:r>
          </w:p>
        </w:tc>
        <w:tc>
          <w:tcPr>
            <w:tcW w:w="2936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China </w:t>
            </w:r>
          </w:p>
        </w:tc>
      </w:tr>
      <w:tr w:rsidR="00A729E7" w:rsidRPr="00A729E7" w:rsidTr="00A729E7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Academic Title：</w:t>
            </w:r>
          </w:p>
        </w:tc>
        <w:tc>
          <w:tcPr>
            <w:tcW w:w="2936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Professor</w:t>
            </w:r>
          </w:p>
        </w:tc>
      </w:tr>
      <w:tr w:rsidR="00A729E7" w:rsidRPr="00A729E7" w:rsidTr="00A729E7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Home University（From）：</w:t>
            </w:r>
          </w:p>
        </w:tc>
        <w:tc>
          <w:tcPr>
            <w:tcW w:w="2936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A729E7">
              <w:rPr>
                <w:rFonts w:ascii="宋体" w:eastAsia="宋体" w:hAnsi="宋体" w:cs="宋体" w:hint="eastAsia"/>
                <w:color w:val="000000"/>
                <w:kern w:val="0"/>
              </w:rPr>
              <w:t>Renmin</w:t>
            </w:r>
            <w:proofErr w:type="spellEnd"/>
            <w:r w:rsidRPr="00A729E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University of China, and University of Birmingham, UK</w:t>
            </w: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729E7" w:rsidRPr="00A729E7" w:rsidTr="00A729E7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Email Address：</w:t>
            </w:r>
          </w:p>
        </w:tc>
        <w:tc>
          <w:tcPr>
            <w:tcW w:w="2936" w:type="pct"/>
            <w:vAlign w:val="center"/>
            <w:hideMark/>
          </w:tcPr>
          <w:p w:rsidR="00A729E7" w:rsidRPr="00A729E7" w:rsidRDefault="00A729E7" w:rsidP="00A72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29E7">
              <w:rPr>
                <w:rFonts w:ascii="宋体" w:eastAsia="宋体" w:hAnsi="宋体" w:cs="宋体" w:hint="eastAsia"/>
                <w:color w:val="000000"/>
                <w:kern w:val="0"/>
              </w:rPr>
              <w:t>zhenya_liu@hotmail.com</w:t>
            </w:r>
            <w:r w:rsidRPr="00A729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729E7" w:rsidRPr="00A729E7" w:rsidRDefault="00A729E7" w:rsidP="00A729E7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45565" cy="267335"/>
            <wp:effectExtent l="19050" t="0" r="6985" b="0"/>
            <wp:docPr id="24" name="图片 24" descr="http://portal.ruc.edu.cn/ruciss/iss/eduadmini/courseadmin/kcxxxzimg/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rtal.ruc.edu.cn/ruciss/iss/eduadmini/courseadmin/kcxxxzimg/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vanish/>
          <w:color w:val="000000"/>
          <w:kern w:val="0"/>
        </w:rPr>
        <w:t>本科生    硕士生</w:t>
      </w:r>
      <w:r w:rsidRPr="00A729E7">
        <w:rPr>
          <w:rFonts w:ascii="宋体" w:eastAsia="宋体" w:hAnsi="宋体" w:cs="宋体" w:hint="eastAsia"/>
          <w:vanish/>
          <w:color w:val="000000"/>
          <w:kern w:val="0"/>
          <w:szCs w:val="21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t>Undergraduate    Master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06650" cy="267335"/>
            <wp:effectExtent l="19050" t="0" r="0" b="0"/>
            <wp:docPr id="25" name="图片 25" descr="http://portal.ruc.edu.cn/ruciss/iss/eduadmini/courseadmin/kcxxxzimg/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ruc.edu.cn/ruciss/iss/eduadmini/courseadmin/kcxxxzimg/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t>English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837690" cy="276225"/>
            <wp:effectExtent l="19050" t="0" r="0" b="0"/>
            <wp:docPr id="26" name="图片 26" descr="http://portal.ruc.edu.cn/ruciss/iss/eduadmini/courseadmin/kcxxxzimg/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rtal.ruc.edu.cn/ruciss/iss/eduadmini/courseadmin/kcxxxzimg/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 w:rsidRPr="00A729E7">
        <w:rPr>
          <w:rFonts w:ascii="宋体" w:eastAsia="宋体" w:hAnsi="宋体" w:cs="宋体" w:hint="eastAsia"/>
          <w:color w:val="000000"/>
          <w:kern w:val="0"/>
        </w:rPr>
        <w:t>Basic knowledge of the asset pricing, financial econometrics.</w:t>
      </w:r>
      <w:proofErr w:type="gram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889885" cy="259080"/>
            <wp:effectExtent l="19050" t="0" r="5715" b="0"/>
            <wp:docPr id="27" name="图片 27" descr="http://portal.ruc.edu.cn/ruciss/iss/eduadmini/courseadmin/kcxxxzimg/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ruc.edu.cn/ruciss/iss/eduadmini/courseadmin/kcxxxzimg/y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t>Lectures and discussions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50190"/>
            <wp:effectExtent l="19050" t="0" r="0" b="0"/>
            <wp:docPr id="28" name="图片 28" descr="http://portal.ruc.edu.cn/ruciss/iss/eduadmini/courseadmin/kcxxxzimg/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rtal.ruc.edu.cn/ruciss/iss/eduadmini/courseadmin/kcxxxzimg/y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t>(1) Attendance and participation 20</w:t>
      </w:r>
      <w:proofErr w:type="gramStart"/>
      <w:r w:rsidRPr="00A729E7">
        <w:rPr>
          <w:rFonts w:ascii="宋体" w:eastAsia="宋体" w:hAnsi="宋体" w:cs="宋体" w:hint="eastAsia"/>
          <w:color w:val="000000"/>
          <w:kern w:val="0"/>
        </w:rPr>
        <w:t>%</w:t>
      </w:r>
      <w:proofErr w:type="gramEnd"/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(2) assignments and mini-papers 80%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173480" cy="259080"/>
            <wp:effectExtent l="19050" t="0" r="7620" b="0"/>
            <wp:docPr id="29" name="图片 29" descr="http://portal.ruc.edu.cn/ruciss/iss/eduadmini/courseadmin/kcxxxzimg/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ruc.edu.cn/ruciss/iss/eduadmini/courseadmin/kcxxxzimg/y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t>2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t xml:space="preserve"> credits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665730" cy="241300"/>
            <wp:effectExtent l="19050" t="0" r="1270" b="0"/>
            <wp:docPr id="30" name="图片 30" descr="http://portal.ruc.edu.cn/ruciss/iss/eduadmini/courseadmin/kcxxxzimg/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ruc.edu.cn/ruciss/iss/eduadmini/courseadmin/kcxxxzimg/y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t xml:space="preserve">Professor Liu works on different issues related to quantitative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modelling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of the global financial markets; in particular, his research focuses on application of the quantitative trading strategies to stock and futures markets, such as regime switching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modelling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>, market microstructures, and trading-rule testing; he also is involved in real-time automatic trading. He also serves as director of board of JPMorgan Futures Co. Ltd.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380615" cy="259080"/>
            <wp:effectExtent l="19050" t="0" r="635" b="0"/>
            <wp:docPr id="31" name="图片 31" descr="http://portal.ruc.edu.cn/ruciss/iss/eduadmini/courseadmin/kcxxxzimg/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tal.ruc.edu.cn/ruciss/iss/eduadmini/courseadmin/kcxxxzimg/y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lastRenderedPageBreak/>
        <w:t>The course will introduce the main trading strategies used by hedge funds and provides a methodology to analyze them. It will cover individual equity markets (discretionary equity investing, short selling, quantitative equity strategies), tactical asset allocation across equity indices, currencies, fixed-income, and commodities (global macro investing, managed futures strategies), and relative-value arbitrage strategies (fixed income arbitrage, convertible bond arbitrage, event driven investments). In the lectures, the trading strategies are illustrated using real data and students learn to use "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backtesting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>" to evaluate a strategy. The course also discusses how trading works, performance measurement, transaction costs and liquidity risk, optimal trading, margin requirements, risk management, and portfolio construction. Through a systematic treatment of these issues as well as a selection of case studies, this course aims at cultivating and enhancing the participants</w:t>
      </w:r>
      <w:proofErr w:type="gramStart"/>
      <w:r w:rsidRPr="00A729E7">
        <w:rPr>
          <w:rFonts w:ascii="宋体" w:eastAsia="宋体" w:hAnsi="宋体" w:cs="宋体" w:hint="eastAsia"/>
          <w:color w:val="000000"/>
          <w:kern w:val="0"/>
        </w:rPr>
        <w:t>’</w:t>
      </w:r>
      <w:proofErr w:type="gram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skills of theorization and making them better prepared for further working in the hedge fund or asset management companies.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11275" cy="259080"/>
            <wp:effectExtent l="19050" t="0" r="3175" b="0"/>
            <wp:docPr id="32" name="图片 32" descr="http://portal.ruc.edu.cn/ruciss/iss/eduadmini/courseadmin/kcxxxzimg/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rtal.ruc.edu.cn/ruciss/iss/eduadmini/courseadmin/kcxxxzimg/y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29E7">
        <w:rPr>
          <w:rFonts w:ascii="宋体" w:eastAsia="宋体" w:hAnsi="宋体" w:cs="宋体" w:hint="eastAsia"/>
          <w:color w:val="000000"/>
          <w:kern w:val="0"/>
        </w:rPr>
        <w:t>1、Overview: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Introduction to hedge fund; trading strategies; understanding hedge funds and other smart money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2、Active Investment: （1）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Performance measures; finding and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backtesting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strategies; portfolio construction; risk management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3、Active Investment:（2）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Trading and financing a strategy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4、Equity strategies: Value Investing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Equity valuation; discretionary equity investing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5、Equity strategies: Rule-based Investing (1)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quant equity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6、Equity strategies：rule-based Investing (2)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Quant equity, continued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7、Global macro strategies: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Asset allocation and global macro investing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8、CTA strategies: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Managed futures investing 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9、Arbitrage strategies: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Event driven investment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10、Conclusion: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 Summary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224915" cy="250190"/>
            <wp:effectExtent l="19050" t="0" r="0" b="0"/>
            <wp:docPr id="33" name="图片 33" descr="http://portal.ruc.edu.cn/ruciss/iss/eduadmini/courseadmin/kcxxxzimg/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rtal.ruc.edu.cn/ruciss/iss/eduadmini/courseadmin/kcxxxzimg/y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Lasse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Heje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Pedersen, Efficiently Inefficient: How Smart Money Invests and Market Prices are Determined, Princeton University Press, </w:t>
      </w:r>
      <w:proofErr w:type="gramStart"/>
      <w:r w:rsidRPr="00A729E7">
        <w:rPr>
          <w:rFonts w:ascii="宋体" w:eastAsia="宋体" w:hAnsi="宋体" w:cs="宋体" w:hint="eastAsia"/>
          <w:color w:val="000000"/>
          <w:kern w:val="0"/>
        </w:rPr>
        <w:t>2015.5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lastRenderedPageBreak/>
        <w:t>Printout</w:t>
      </w:r>
      <w:proofErr w:type="gram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of PPT files for all the lectures will be made available in the very beginning of class.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729E7" w:rsidRPr="00A729E7" w:rsidRDefault="00A729E7" w:rsidP="00A729E7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23795" cy="250190"/>
            <wp:effectExtent l="19050" t="0" r="0" b="0"/>
            <wp:docPr id="34" name="图片 34" descr="http://portal.ruc.edu.cn/ruciss/iss/eduadmini/courseadmin/kcxxxzimg/y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rtal.ruc.edu.cn/ruciss/iss/eduadmini/courseadmin/kcxxxzimg/y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E7" w:rsidRPr="00A729E7" w:rsidRDefault="00A729E7" w:rsidP="00A729E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Amenc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Noël, Lionel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Martellini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and Mathieu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Vaissi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é (2002), “Benefits and Risks of Alternative Investment Strategies,” working paper,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Edhec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Business School, Lille.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gramStart"/>
      <w:r w:rsidRPr="00A729E7">
        <w:rPr>
          <w:rFonts w:ascii="宋体" w:eastAsia="宋体" w:hAnsi="宋体" w:cs="宋体" w:hint="eastAsia"/>
          <w:color w:val="000000"/>
          <w:kern w:val="0"/>
        </w:rPr>
        <w:t xml:space="preserve">Diamond, D. W., and R. E.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Verrecchia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(1987), “Constraints on short-selling and asset price adjustment to private information,” Journal of Financial Economics 18, 277-311.</w:t>
      </w:r>
      <w:proofErr w:type="gramEnd"/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Eichengreen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Barry (2000), “Hedge Funds in the New International Financial Architecture, ” International Finance. 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>Fung, W., and D.A. Hsieh (1997) "Empirical Characteristics of Dynamic Trading Strategies: The Case of Hedge Funds," Review of Financial Studies, 10, 275-302.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Fung, W., and D.A. Hsieh (2001) “The Risk of Hedge Fund Strategies: Theory and Evidence f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rom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Trend Followers,” Review of Financial Studies, 41, 313-341.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Gatev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Evan G., William N.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Goetzmann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and K.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Geert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Rouwenhorst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(1999), “Pairs Trading: Performance of a Relative Value Arbitrage Rule,” working paper, School of Management, Yale University.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Harrison, J.M., and D.M.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Kre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p s (1979), “Martingales and Arbitrage in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Multiperiod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Securities Markets,” Journal of Economic Theory 20, 381-408.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Ineichen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Alexander M. (2003), Absolute Return: The Risk and Opportunities of Hedge Fund Investing, John Wiley &amp; Sons, Hoboken, New Jersey. 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Kung, Edward and Larry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Pohlman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(2004), “Portable Alpha,” Journal of Portfolio Management, 30:3. 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Lhabitant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François-Serge (2002), Hedge Funds: Myths and Limits, John Wiley &amp; Sons, New York, USA. 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Lhabitant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>, François-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Serg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e (2003), “Evaluating Hedge Fund Investments: the Role of Pure Style Indices,”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Edhec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Business School.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Liang, Bing (2004), “On the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Perf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o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rmance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of Alternative Investments: CTAs, Hedge Funds and Funds-of-Funds,” forthcoming in Journal of Investment Management.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Martin, Georg e (2000), “Making Sense of Hedge Fund Returns: What Matters and What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Doesn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>’t,” Derivatives Strategy.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lastRenderedPageBreak/>
        <w:t xml:space="preserve">Mitchell, Mark, and Todd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Pulvino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(2001), “Characteristics of Risk in Risk Arbitrage,”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Journ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a l of Finance 56, 2067-2109.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gramStart"/>
      <w:r w:rsidRPr="00A729E7">
        <w:rPr>
          <w:rFonts w:ascii="宋体" w:eastAsia="宋体" w:hAnsi="宋体" w:cs="宋体" w:hint="eastAsia"/>
          <w:color w:val="000000"/>
          <w:kern w:val="0"/>
        </w:rPr>
        <w:t>M S C I (2003), Investable Hedge Fund Indices Methodology, Morgan Stanley Capital International Inc.</w:t>
      </w:r>
      <w:proofErr w:type="gramEnd"/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Agarwal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Vikas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and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Narayan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Y.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Naik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(2004), “Risk and Portfolio Decisions Involving Hedge Funds,” Review of Financial Studies 17, 63 – 98.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Agarwal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Vikas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Narayan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Y.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Naik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, William Fung and Yee Cheng Loon (2004), “Risks in Hedge Fund Strategies: The Case of Convertible Arbitrage,” working paper, Georgia State U n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i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v e r s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i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t y.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Barès, Pierre-Antoine,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Rajna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Gibson and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Sebastien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Gyger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(2003), “Performance in the Hedge Funds Industry: An Analysis of Short and Long-Term Persistence,” Journal of Alternative Investments, 6:3, 25-41.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Brown, J. Stephen, William N.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Goetzmann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(2001), “Hedge Funds With Style,” working paper, Yale School of Management, Yale University, New Haven. 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Connor, Gregory and Mason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Wo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o (2003), “An Introduction to Hedge Funds,” working paper, Financial Markets Group, London School of Economics.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Currie, Anthony and Jennifer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Morr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i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s (2000), “And Now for Capital Structure Arbitrage,”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Euromoney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 xml:space="preserve"> Magazine, December.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</w:rPr>
        <w:t xml:space="preserve">de </w:t>
      </w:r>
      <w:proofErr w:type="spellStart"/>
      <w:r w:rsidRPr="00A729E7">
        <w:rPr>
          <w:rFonts w:ascii="宋体" w:eastAsia="宋体" w:hAnsi="宋体" w:cs="宋体" w:hint="eastAsia"/>
          <w:color w:val="000000"/>
          <w:kern w:val="0"/>
        </w:rPr>
        <w:t>Brouwer</w:t>
      </w:r>
      <w:proofErr w:type="spellEnd"/>
      <w:r w:rsidRPr="00A729E7">
        <w:rPr>
          <w:rFonts w:ascii="宋体" w:eastAsia="宋体" w:hAnsi="宋体" w:cs="宋体" w:hint="eastAsia"/>
          <w:color w:val="000000"/>
          <w:kern w:val="0"/>
        </w:rPr>
        <w:t>, Gordon (2001), Hedge Funds in Emerging Markets, Cambridge University Press, Cambridge, UK.</w:t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729E7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729E7" w:rsidRPr="00A729E7" w:rsidRDefault="00A729E7" w:rsidP="00A729E7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729E7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0065C2" w:rsidRDefault="000065C2"/>
    <w:sectPr w:rsidR="000065C2" w:rsidSect="0000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#23435;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9E7"/>
    <w:rsid w:val="000065C2"/>
    <w:rsid w:val="00A7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729E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729E7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u-span">
    <w:name w:val="u-span"/>
    <w:basedOn w:val="a0"/>
    <w:rsid w:val="00A729E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729E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729E7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A729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579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211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5048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913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0382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405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380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7507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609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21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42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5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5611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2016-02-22T03:01:00Z</dcterms:created>
  <dcterms:modified xsi:type="dcterms:W3CDTF">2016-02-22T03:02:00Z</dcterms:modified>
</cp:coreProperties>
</file>