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E5" w:rsidRPr="006128E5" w:rsidRDefault="006128E5" w:rsidP="006128E5">
      <w:pPr>
        <w:widowControl/>
        <w:pBdr>
          <w:bottom w:val="single" w:sz="6" w:space="1" w:color="auto"/>
        </w:pBdr>
        <w:jc w:val="center"/>
        <w:rPr>
          <w:rFonts w:ascii="Arial" w:eastAsia="宋体" w:hAnsi="Arial" w:cs="Arial" w:hint="eastAsia"/>
          <w:vanish/>
          <w:kern w:val="0"/>
          <w:sz w:val="16"/>
          <w:szCs w:val="16"/>
        </w:rPr>
      </w:pPr>
      <w:r w:rsidRPr="006128E5">
        <w:rPr>
          <w:rFonts w:ascii="Arial" w:eastAsia="宋体" w:hAnsi="Arial" w:cs="Arial" w:hint="eastAsia"/>
          <w:vanish/>
          <w:kern w:val="0"/>
          <w:sz w:val="16"/>
          <w:szCs w:val="16"/>
        </w:rPr>
        <w:t>窗体顶端</w:t>
      </w:r>
    </w:p>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amp;#23435;&amp;#20307;" w:eastAsia="宋体" w:hAnsi="&amp;#23435;&amp;#20307;" w:cs="宋体"/>
          <w:b/>
          <w:bCs/>
          <w:kern w:val="0"/>
          <w:szCs w:val="21"/>
        </w:rPr>
      </w:pPr>
      <w:r w:rsidRPr="006128E5">
        <w:rPr>
          <w:rFonts w:ascii="&amp;#23435;&amp;#20307;" w:eastAsia="宋体" w:hAnsi="&amp;#23435;&amp;#20307;" w:cs="宋体"/>
          <w:b/>
          <w:bCs/>
          <w:kern w:val="0"/>
        </w:rPr>
        <w:t>Investment Environment and Policy in China</w:t>
      </w:r>
      <w:r w:rsidRPr="006128E5">
        <w:rPr>
          <w:rFonts w:ascii="&amp;#23435;&amp;#20307;" w:eastAsia="宋体" w:hAnsi="&amp;#23435;&amp;#20307;" w:cs="宋体"/>
          <w:b/>
          <w:bCs/>
          <w:kern w:val="0"/>
          <w:szCs w:val="21"/>
        </w:rPr>
        <w:t xml:space="preserve"> </w:t>
      </w:r>
    </w:p>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6128E5" w:rsidRPr="006128E5" w:rsidTr="006128E5">
        <w:trPr>
          <w:tblCellSpacing w:w="15" w:type="dxa"/>
        </w:trPr>
        <w:tc>
          <w:tcPr>
            <w:tcW w:w="1957"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Name：</w:t>
            </w:r>
          </w:p>
        </w:tc>
        <w:tc>
          <w:tcPr>
            <w:tcW w:w="2936"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LIU YUNHUA</w:t>
            </w:r>
            <w:r w:rsidRPr="006128E5">
              <w:rPr>
                <w:rFonts w:ascii="宋体" w:eastAsia="宋体" w:hAnsi="宋体" w:cs="宋体" w:hint="eastAsia"/>
                <w:color w:val="000000"/>
                <w:kern w:val="0"/>
                <w:szCs w:val="21"/>
              </w:rPr>
              <w:t xml:space="preserve"> </w:t>
            </w:r>
          </w:p>
        </w:tc>
      </w:tr>
      <w:tr w:rsidR="006128E5" w:rsidRPr="006128E5" w:rsidTr="006128E5">
        <w:trPr>
          <w:tblCellSpacing w:w="15" w:type="dxa"/>
        </w:trPr>
        <w:tc>
          <w:tcPr>
            <w:tcW w:w="1957"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Nationality：</w:t>
            </w:r>
          </w:p>
        </w:tc>
        <w:tc>
          <w:tcPr>
            <w:tcW w:w="2936"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 xml:space="preserve">Singapore </w:t>
            </w:r>
          </w:p>
        </w:tc>
      </w:tr>
      <w:tr w:rsidR="006128E5" w:rsidRPr="006128E5" w:rsidTr="006128E5">
        <w:trPr>
          <w:tblCellSpacing w:w="15" w:type="dxa"/>
        </w:trPr>
        <w:tc>
          <w:tcPr>
            <w:tcW w:w="1957"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Academic Title：</w:t>
            </w:r>
          </w:p>
        </w:tc>
        <w:tc>
          <w:tcPr>
            <w:tcW w:w="2936"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Professor</w:t>
            </w:r>
          </w:p>
        </w:tc>
      </w:tr>
      <w:tr w:rsidR="006128E5" w:rsidRPr="006128E5" w:rsidTr="006128E5">
        <w:trPr>
          <w:tblCellSpacing w:w="15" w:type="dxa"/>
        </w:trPr>
        <w:tc>
          <w:tcPr>
            <w:tcW w:w="1957"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Home University（From）：</w:t>
            </w:r>
          </w:p>
        </w:tc>
        <w:tc>
          <w:tcPr>
            <w:tcW w:w="2936"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RENMIN University of China</w:t>
            </w:r>
            <w:r w:rsidRPr="006128E5">
              <w:rPr>
                <w:rFonts w:ascii="宋体" w:eastAsia="宋体" w:hAnsi="宋体" w:cs="宋体" w:hint="eastAsia"/>
                <w:color w:val="000000"/>
                <w:kern w:val="0"/>
                <w:szCs w:val="21"/>
              </w:rPr>
              <w:t xml:space="preserve"> </w:t>
            </w:r>
          </w:p>
        </w:tc>
      </w:tr>
      <w:tr w:rsidR="006128E5" w:rsidRPr="006128E5" w:rsidTr="006128E5">
        <w:trPr>
          <w:tblCellSpacing w:w="15" w:type="dxa"/>
        </w:trPr>
        <w:tc>
          <w:tcPr>
            <w:tcW w:w="1957"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Email Address：</w:t>
            </w:r>
          </w:p>
        </w:tc>
        <w:tc>
          <w:tcPr>
            <w:tcW w:w="2936" w:type="pct"/>
            <w:vAlign w:val="center"/>
            <w:hideMark/>
          </w:tcPr>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lyh2013@ruc.edu.cn</w:t>
            </w:r>
            <w:r w:rsidRPr="006128E5">
              <w:rPr>
                <w:rFonts w:ascii="宋体" w:eastAsia="宋体" w:hAnsi="宋体" w:cs="宋体" w:hint="eastAsia"/>
                <w:color w:val="000000"/>
                <w:kern w:val="0"/>
                <w:szCs w:val="21"/>
              </w:rPr>
              <w:t xml:space="preserve"> </w:t>
            </w:r>
          </w:p>
        </w:tc>
      </w:tr>
    </w:tbl>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vanish/>
          <w:color w:val="000000"/>
          <w:kern w:val="0"/>
          <w:szCs w:val="21"/>
        </w:rPr>
      </w:pPr>
      <w:r w:rsidRPr="006128E5">
        <w:rPr>
          <w:rFonts w:ascii="宋体" w:eastAsia="宋体" w:hAnsi="宋体" w:cs="宋体" w:hint="eastAsia"/>
          <w:vanish/>
          <w:color w:val="000000"/>
          <w:kern w:val="0"/>
        </w:rPr>
        <w:t>硕士生    博士生    本科生    本科生    本科生</w:t>
      </w:r>
      <w:r w:rsidRPr="006128E5">
        <w:rPr>
          <w:rFonts w:ascii="宋体" w:eastAsia="宋体" w:hAnsi="宋体" w:cs="宋体" w:hint="eastAsia"/>
          <w:vanish/>
          <w:color w:val="000000"/>
          <w:kern w:val="0"/>
          <w:szCs w:val="21"/>
        </w:rPr>
        <w:t xml:space="preserve"> </w:t>
      </w:r>
    </w:p>
    <w:p w:rsidR="006128E5" w:rsidRPr="006128E5" w:rsidRDefault="006128E5" w:rsidP="006128E5">
      <w:pPr>
        <w:widowControl/>
        <w:jc w:val="left"/>
        <w:rPr>
          <w:rFonts w:ascii="宋体" w:eastAsia="宋体" w:hAnsi="宋体" w:cs="宋体" w:hint="eastAsia"/>
          <w:color w:val="000000"/>
          <w:kern w:val="0"/>
          <w:szCs w:val="21"/>
        </w:rPr>
      </w:pPr>
      <w:r w:rsidRPr="006128E5">
        <w:rPr>
          <w:rFonts w:ascii="宋体" w:eastAsia="宋体" w:hAnsi="宋体" w:cs="宋体" w:hint="eastAsia"/>
          <w:color w:val="000000"/>
          <w:kern w:val="0"/>
        </w:rPr>
        <w:t>Master    Doctoral student    Undergraduate    Undergraduate    Undergraduate</w:t>
      </w:r>
      <w:r w:rsidRPr="006128E5">
        <w:rPr>
          <w:rFonts w:ascii="宋体" w:eastAsia="宋体" w:hAnsi="宋体" w:cs="宋体" w:hint="eastAsia"/>
          <w:color w:val="000000"/>
          <w:kern w:val="0"/>
          <w:szCs w:val="21"/>
        </w:rPr>
        <w:t xml:space="preserve"> </w:t>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szCs w:val="21"/>
        </w:rPr>
        <w:t>English</w:t>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2</w:t>
      </w:r>
      <w:r w:rsidRPr="006128E5">
        <w:rPr>
          <w:rFonts w:ascii="宋体" w:eastAsia="宋体" w:hAnsi="宋体" w:cs="宋体" w:hint="eastAsia"/>
          <w:color w:val="000000"/>
          <w:kern w:val="0"/>
          <w:szCs w:val="21"/>
        </w:rPr>
        <w:t xml:space="preserve"> credits </w:t>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 xml:space="preserve">Yunhua Liu is currently a professor of economics at Renmin University of China (Beijing) and adjunct professor at Nanyang Technological University, Singapore. He graduated in 1982 in Engineering for his undergraduate and completed MS degree in Management Science in 1986 from Northeastern University in China. He achieved his Ph.D. in Economics from Ohio State University in 1993 and started working as a faculty staff at Nanyang Technological University since 1994. Dr Liu's research areas cover economic relationship of Southeast Asia and China, urban economic development and Chinese Economy. The main courses he teaches for graduate students are Chinese Economy and Investment Environment of China. His research papers are published in journals of Economic Development and Cultural Change, Public Administration Review, Review of Development Economics, China Economic Review, Journal of Policy Modeling, ASEAN Economic Bulletin, Quarterly Review of Economics and Finance, Global Economy </w:t>
      </w:r>
      <w:r w:rsidRPr="006128E5">
        <w:rPr>
          <w:rFonts w:ascii="宋体" w:eastAsia="宋体" w:hAnsi="宋体" w:cs="宋体" w:hint="eastAsia"/>
          <w:color w:val="000000"/>
          <w:kern w:val="0"/>
        </w:rPr>
        <w:lastRenderedPageBreak/>
        <w:t>Journal, etc. Dr Liu also heavily conducted consultant work for government and business firms.</w:t>
      </w:r>
      <w:r w:rsidRPr="006128E5">
        <w:rPr>
          <w:rFonts w:ascii="宋体" w:eastAsia="宋体" w:hAnsi="宋体" w:cs="宋体" w:hint="eastAsia"/>
          <w:color w:val="000000"/>
          <w:kern w:val="0"/>
          <w:szCs w:val="21"/>
        </w:rPr>
        <w:t xml:space="preserve"> </w:t>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The emerging China market provides opportunities and challenges to the rest of the world. Understanding the fast changing economic environment in China is essential for potential business activities. The objective of this subject is to provide students with the knowledge of the dynamics in China</w:t>
      </w:r>
      <w:proofErr w:type="gramStart"/>
      <w:r w:rsidRPr="006128E5">
        <w:rPr>
          <w:rFonts w:ascii="宋体" w:eastAsia="宋体" w:hAnsi="宋体" w:cs="宋体" w:hint="eastAsia"/>
          <w:color w:val="000000"/>
          <w:kern w:val="0"/>
        </w:rPr>
        <w:t>’</w:t>
      </w:r>
      <w:proofErr w:type="gramEnd"/>
      <w:r w:rsidRPr="006128E5">
        <w:rPr>
          <w:rFonts w:ascii="宋体" w:eastAsia="宋体" w:hAnsi="宋体" w:cs="宋体" w:hint="eastAsia"/>
          <w:color w:val="000000"/>
          <w:kern w:val="0"/>
        </w:rPr>
        <w:t xml:space="preserve">s investment environment on their causes and sequential logics. Emphases are on the impacts of changing policies of the government and the market forces emerged in China. Changes in demand market, supply of resources and provision of infrastructure, industrial development, technologies, urban and regional development and their effects will be investigated. Case studies of business investment in different industries and different regions will be used as main tool. </w:t>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Lecture 1 The Macroeconomic Trend in Chinese Economy: Challenges and Prospects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1.1 The macroeconomic trend and prospect</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1.2 Government strategy and policy</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1.3 A few hot issues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2 Trade Development and Trade Policy</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2.1 China</w:t>
      </w:r>
      <w:proofErr w:type="gramStart"/>
      <w:r w:rsidRPr="006128E5">
        <w:rPr>
          <w:rFonts w:ascii="宋体" w:eastAsia="宋体" w:hAnsi="宋体" w:cs="宋体" w:hint="eastAsia"/>
          <w:color w:val="000000"/>
          <w:kern w:val="0"/>
        </w:rPr>
        <w:t>’</w:t>
      </w:r>
      <w:proofErr w:type="gramEnd"/>
      <w:r w:rsidRPr="006128E5">
        <w:rPr>
          <w:rFonts w:ascii="宋体" w:eastAsia="宋体" w:hAnsi="宋体" w:cs="宋体" w:hint="eastAsia"/>
          <w:color w:val="000000"/>
          <w:kern w:val="0"/>
        </w:rPr>
        <w:t xml:space="preserve">s Trade Performance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2.2 Basis of Trade and Trade Policy Reform</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2.3 Trade Relations with the World</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3 Changing Role of FDIs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3.1 FDI in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3.2 Case study</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3.3 Future roles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4 Investing in China: Challenges and Opportunities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4.1 Changing business environments in China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4.2 The Consumer markets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4.3 Opportunities and growing entrepreneurs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5 China</w:t>
      </w:r>
      <w:proofErr w:type="gramStart"/>
      <w:r w:rsidRPr="006128E5">
        <w:rPr>
          <w:rFonts w:ascii="宋体" w:eastAsia="宋体" w:hAnsi="宋体" w:cs="宋体" w:hint="eastAsia"/>
          <w:color w:val="000000"/>
          <w:kern w:val="0"/>
        </w:rPr>
        <w:t>’</w:t>
      </w:r>
      <w:proofErr w:type="gramEnd"/>
      <w:r w:rsidRPr="006128E5">
        <w:rPr>
          <w:rFonts w:ascii="宋体" w:eastAsia="宋体" w:hAnsi="宋体" w:cs="宋体" w:hint="eastAsia"/>
          <w:color w:val="000000"/>
          <w:kern w:val="0"/>
        </w:rPr>
        <w:t>s Tax System and Role of Local Governments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5.1 China</w:t>
      </w:r>
      <w:proofErr w:type="gramStart"/>
      <w:r w:rsidRPr="006128E5">
        <w:rPr>
          <w:rFonts w:ascii="宋体" w:eastAsia="宋体" w:hAnsi="宋体" w:cs="宋体" w:hint="eastAsia"/>
          <w:color w:val="000000"/>
          <w:kern w:val="0"/>
        </w:rPr>
        <w:t>’</w:t>
      </w:r>
      <w:proofErr w:type="gramEnd"/>
      <w:r w:rsidRPr="006128E5">
        <w:rPr>
          <w:rFonts w:ascii="宋体" w:eastAsia="宋体" w:hAnsi="宋体" w:cs="宋体" w:hint="eastAsia"/>
          <w:color w:val="000000"/>
          <w:kern w:val="0"/>
        </w:rPr>
        <w:t>s tax system</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5.2 The role of local governments and their behavor pattern</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5.3 Case: Decline of the world largest solar energy company: SunTech</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6 Market Distortions in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6.1 Factor price distortions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6.2 Mal-Regulated market distortions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6.3 Culture resulted distortions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Lecture 7 Manufacturing Industry in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7.1 Manufacturing Industry in China: World Position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7.2 Most Demanded Industries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7.3 Changing Competitiveness in China</w:t>
      </w:r>
      <w:proofErr w:type="gramStart"/>
      <w:r w:rsidRPr="006128E5">
        <w:rPr>
          <w:rFonts w:ascii="宋体" w:eastAsia="宋体" w:hAnsi="宋体" w:cs="宋体" w:hint="eastAsia"/>
          <w:color w:val="000000"/>
          <w:kern w:val="0"/>
        </w:rPr>
        <w:t>’</w:t>
      </w:r>
      <w:proofErr w:type="gramEnd"/>
      <w:r w:rsidRPr="006128E5">
        <w:rPr>
          <w:rFonts w:ascii="宋体" w:eastAsia="宋体" w:hAnsi="宋体" w:cs="宋体" w:hint="eastAsia"/>
          <w:color w:val="000000"/>
          <w:kern w:val="0"/>
        </w:rPr>
        <w:t>s Manufacturing Sector</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lastRenderedPageBreak/>
        <w:t>Lecture 8 Regional Development, Industrialization and Urbanization</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8.1 Globalization and Regional Development of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8.2 Industrial Policy and Key Industries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8.3 Trend of Urbanization</w:t>
      </w:r>
      <w:r w:rsidRPr="006128E5">
        <w:rPr>
          <w:rFonts w:ascii="宋体" w:eastAsia="宋体" w:hAnsi="宋体" w:cs="宋体" w:hint="eastAsia"/>
          <w:color w:val="000000"/>
          <w:kern w:val="0"/>
          <w:szCs w:val="21"/>
        </w:rPr>
        <w:br/>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BN Barry Naughton</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w:t>
      </w:r>
      <w:proofErr w:type="gramStart"/>
      <w:r w:rsidRPr="006128E5">
        <w:rPr>
          <w:rFonts w:ascii="宋体" w:eastAsia="宋体" w:hAnsi="宋体" w:cs="宋体" w:hint="eastAsia"/>
          <w:color w:val="000000"/>
          <w:kern w:val="0"/>
        </w:rPr>
        <w:t>The</w:t>
      </w:r>
      <w:proofErr w:type="gramEnd"/>
      <w:r w:rsidRPr="006128E5">
        <w:rPr>
          <w:rFonts w:ascii="宋体" w:eastAsia="宋体" w:hAnsi="宋体" w:cs="宋体" w:hint="eastAsia"/>
          <w:color w:val="000000"/>
          <w:kern w:val="0"/>
        </w:rPr>
        <w:t xml:space="preserve"> Chinese Economy: Transitions and Growth</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The MIT Press, 2007</w:t>
      </w:r>
      <w:r w:rsidRPr="006128E5">
        <w:rPr>
          <w:rFonts w:ascii="宋体" w:eastAsia="宋体" w:hAnsi="宋体" w:cs="宋体" w:hint="eastAsia"/>
          <w:color w:val="000000"/>
          <w:kern w:val="0"/>
          <w:szCs w:val="21"/>
        </w:rPr>
        <w:br/>
      </w:r>
    </w:p>
    <w:p w:rsidR="006128E5" w:rsidRPr="006128E5" w:rsidRDefault="006128E5" w:rsidP="006128E5">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6128E5" w:rsidRPr="006128E5" w:rsidRDefault="006128E5" w:rsidP="006128E5">
      <w:pPr>
        <w:widowControl/>
        <w:jc w:val="left"/>
        <w:rPr>
          <w:rFonts w:ascii="宋体" w:eastAsia="宋体" w:hAnsi="宋体" w:cs="宋体"/>
          <w:color w:val="000000"/>
          <w:kern w:val="0"/>
          <w:szCs w:val="21"/>
        </w:rPr>
      </w:pPr>
      <w:r w:rsidRPr="006128E5">
        <w:rPr>
          <w:rFonts w:ascii="宋体" w:eastAsia="宋体" w:hAnsi="宋体" w:cs="宋体" w:hint="eastAsia"/>
          <w:color w:val="000000"/>
          <w:kern w:val="0"/>
        </w:rPr>
        <w:t>HBR Harvard Business Review</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Doing Business in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Harvard Business School Press, 2004</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ZL Zhou Linong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China Business: Environment, Momentum, Strategies, Prospects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Pearson &amp; Prentice Hall, 2006</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ISBN: 981-244-930-2</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LG N. Mark Lam and John L. Graham</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China Now: Doing Business in the World’s Most Dynamic Market</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McGraw Hill, 2007</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WZG Yuan Wang, Xin Sheng Zhang and Rob Goodfellow</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China Business Culture: Strategies for Success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Talisman, 2003</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JW Jonathan R. Woetzel</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Capitalist China</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xml:space="preserve"> Wiley, 2003 </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JM James McGregor</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One Billion Customers</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Wall Street Journal Books, 2005</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JG Jonathan Garner</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The Rise of the Chinese Consumer: Theory and Evidence</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John Wiley &amp; Sons, Ltd, 2006</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HE W. John Hoffmann and Michael J. Engright</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t> China into the Future: Making Sense of the World’s Most Dynamic Economy</w:t>
      </w:r>
      <w:r w:rsidRPr="006128E5">
        <w:rPr>
          <w:rFonts w:ascii="宋体" w:eastAsia="宋体" w:hAnsi="宋体" w:cs="宋体" w:hint="eastAsia"/>
          <w:color w:val="000000"/>
          <w:kern w:val="0"/>
          <w:szCs w:val="21"/>
        </w:rPr>
        <w:br/>
      </w:r>
      <w:r w:rsidRPr="006128E5">
        <w:rPr>
          <w:rFonts w:ascii="宋体" w:eastAsia="宋体" w:hAnsi="宋体" w:cs="宋体" w:hint="eastAsia"/>
          <w:color w:val="000000"/>
          <w:kern w:val="0"/>
        </w:rPr>
        <w:lastRenderedPageBreak/>
        <w:t> John Wiley &amp; Sons, Ltd, 2008</w:t>
      </w:r>
      <w:r w:rsidRPr="006128E5">
        <w:rPr>
          <w:rFonts w:ascii="宋体" w:eastAsia="宋体" w:hAnsi="宋体" w:cs="宋体" w:hint="eastAsia"/>
          <w:color w:val="000000"/>
          <w:kern w:val="0"/>
          <w:szCs w:val="21"/>
        </w:rPr>
        <w:br/>
      </w:r>
    </w:p>
    <w:p w:rsidR="006128E5" w:rsidRPr="006128E5" w:rsidRDefault="006128E5" w:rsidP="006128E5">
      <w:pPr>
        <w:widowControl/>
        <w:pBdr>
          <w:top w:val="single" w:sz="6" w:space="1" w:color="auto"/>
        </w:pBdr>
        <w:jc w:val="center"/>
        <w:rPr>
          <w:rFonts w:ascii="Arial" w:eastAsia="宋体" w:hAnsi="Arial" w:cs="Arial" w:hint="eastAsia"/>
          <w:vanish/>
          <w:kern w:val="0"/>
          <w:sz w:val="16"/>
          <w:szCs w:val="16"/>
        </w:rPr>
      </w:pPr>
      <w:r w:rsidRPr="006128E5">
        <w:rPr>
          <w:rFonts w:ascii="Arial" w:eastAsia="宋体" w:hAnsi="Arial" w:cs="Arial" w:hint="eastAsia"/>
          <w:vanish/>
          <w:kern w:val="0"/>
          <w:sz w:val="16"/>
          <w:szCs w:val="16"/>
        </w:rPr>
        <w:t>窗体底端</w:t>
      </w:r>
    </w:p>
    <w:p w:rsidR="00E4006E" w:rsidRDefault="00E4006E"/>
    <w:sectPr w:rsidR="00E4006E" w:rsidSect="00E400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28E5"/>
    <w:rsid w:val="006128E5"/>
    <w:rsid w:val="00E40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6128E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128E5"/>
    <w:rPr>
      <w:rFonts w:ascii="Arial" w:eastAsia="宋体" w:hAnsi="Arial" w:cs="Arial"/>
      <w:vanish/>
      <w:kern w:val="0"/>
      <w:sz w:val="16"/>
      <w:szCs w:val="16"/>
    </w:rPr>
  </w:style>
  <w:style w:type="character" w:customStyle="1" w:styleId="u-span">
    <w:name w:val="u-span"/>
    <w:basedOn w:val="a0"/>
    <w:rsid w:val="006128E5"/>
  </w:style>
  <w:style w:type="paragraph" w:styleId="z-0">
    <w:name w:val="HTML Bottom of Form"/>
    <w:basedOn w:val="a"/>
    <w:next w:val="a"/>
    <w:link w:val="z-Char0"/>
    <w:hidden/>
    <w:uiPriority w:val="99"/>
    <w:semiHidden/>
    <w:unhideWhenUsed/>
    <w:rsid w:val="006128E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128E5"/>
    <w:rPr>
      <w:rFonts w:ascii="Arial" w:eastAsia="宋体" w:hAnsi="Arial" w:cs="Arial"/>
      <w:vanish/>
      <w:kern w:val="0"/>
      <w:sz w:val="16"/>
      <w:szCs w:val="16"/>
    </w:rPr>
  </w:style>
  <w:style w:type="paragraph" w:styleId="a3">
    <w:name w:val="Balloon Text"/>
    <w:basedOn w:val="a"/>
    <w:link w:val="Char"/>
    <w:uiPriority w:val="99"/>
    <w:semiHidden/>
    <w:unhideWhenUsed/>
    <w:rsid w:val="006128E5"/>
    <w:rPr>
      <w:sz w:val="18"/>
      <w:szCs w:val="18"/>
    </w:rPr>
  </w:style>
  <w:style w:type="character" w:customStyle="1" w:styleId="Char">
    <w:name w:val="批注框文本 Char"/>
    <w:basedOn w:val="a0"/>
    <w:link w:val="a3"/>
    <w:uiPriority w:val="99"/>
    <w:semiHidden/>
    <w:rsid w:val="006128E5"/>
    <w:rPr>
      <w:sz w:val="18"/>
      <w:szCs w:val="18"/>
    </w:rPr>
  </w:style>
</w:styles>
</file>

<file path=word/webSettings.xml><?xml version="1.0" encoding="utf-8"?>
<w:webSettings xmlns:r="http://schemas.openxmlformats.org/officeDocument/2006/relationships" xmlns:w="http://schemas.openxmlformats.org/wordprocessingml/2006/main">
  <w:divs>
    <w:div w:id="1686638139">
      <w:bodyDiv w:val="1"/>
      <w:marLeft w:val="0"/>
      <w:marRight w:val="0"/>
      <w:marTop w:val="0"/>
      <w:marBottom w:val="0"/>
      <w:divBdr>
        <w:top w:val="none" w:sz="0" w:space="0" w:color="auto"/>
        <w:left w:val="none" w:sz="0" w:space="0" w:color="auto"/>
        <w:bottom w:val="none" w:sz="0" w:space="0" w:color="auto"/>
        <w:right w:val="none" w:sz="0" w:space="0" w:color="auto"/>
      </w:divBdr>
      <w:divsChild>
        <w:div w:id="2098554167">
          <w:marLeft w:val="408"/>
          <w:marRight w:val="0"/>
          <w:marTop w:val="136"/>
          <w:marBottom w:val="0"/>
          <w:divBdr>
            <w:top w:val="none" w:sz="0" w:space="0" w:color="auto"/>
            <w:left w:val="none" w:sz="0" w:space="0" w:color="auto"/>
            <w:bottom w:val="none" w:sz="0" w:space="0" w:color="auto"/>
            <w:right w:val="none" w:sz="0" w:space="0" w:color="auto"/>
          </w:divBdr>
          <w:divsChild>
            <w:div w:id="1653409326">
              <w:marLeft w:val="0"/>
              <w:marRight w:val="0"/>
              <w:marTop w:val="0"/>
              <w:marBottom w:val="0"/>
              <w:divBdr>
                <w:top w:val="none" w:sz="0" w:space="0" w:color="auto"/>
                <w:left w:val="none" w:sz="0" w:space="0" w:color="auto"/>
                <w:bottom w:val="none" w:sz="0" w:space="0" w:color="auto"/>
                <w:right w:val="none" w:sz="0" w:space="0" w:color="auto"/>
              </w:divBdr>
            </w:div>
            <w:div w:id="254560227">
              <w:marLeft w:val="0"/>
              <w:marRight w:val="0"/>
              <w:marTop w:val="136"/>
              <w:marBottom w:val="136"/>
              <w:divBdr>
                <w:top w:val="none" w:sz="0" w:space="0" w:color="auto"/>
                <w:left w:val="none" w:sz="0" w:space="0" w:color="auto"/>
                <w:bottom w:val="none" w:sz="0" w:space="0" w:color="auto"/>
                <w:right w:val="none" w:sz="0" w:space="0" w:color="auto"/>
              </w:divBdr>
            </w:div>
          </w:divsChild>
        </w:div>
        <w:div w:id="225460898">
          <w:marLeft w:val="408"/>
          <w:marRight w:val="0"/>
          <w:marTop w:val="136"/>
          <w:marBottom w:val="136"/>
          <w:divBdr>
            <w:top w:val="none" w:sz="0" w:space="0" w:color="auto"/>
            <w:left w:val="none" w:sz="0" w:space="0" w:color="auto"/>
            <w:bottom w:val="none" w:sz="0" w:space="0" w:color="auto"/>
            <w:right w:val="none" w:sz="0" w:space="0" w:color="auto"/>
          </w:divBdr>
          <w:divsChild>
            <w:div w:id="267156782">
              <w:marLeft w:val="0"/>
              <w:marRight w:val="0"/>
              <w:marTop w:val="0"/>
              <w:marBottom w:val="0"/>
              <w:divBdr>
                <w:top w:val="none" w:sz="0" w:space="0" w:color="auto"/>
                <w:left w:val="none" w:sz="0" w:space="0" w:color="auto"/>
                <w:bottom w:val="none" w:sz="0" w:space="0" w:color="auto"/>
                <w:right w:val="none" w:sz="0" w:space="0" w:color="auto"/>
              </w:divBdr>
            </w:div>
            <w:div w:id="898126497">
              <w:marLeft w:val="0"/>
              <w:marRight w:val="0"/>
              <w:marTop w:val="0"/>
              <w:marBottom w:val="0"/>
              <w:divBdr>
                <w:top w:val="none" w:sz="0" w:space="0" w:color="auto"/>
                <w:left w:val="none" w:sz="0" w:space="0" w:color="auto"/>
                <w:bottom w:val="none" w:sz="0" w:space="0" w:color="auto"/>
                <w:right w:val="none" w:sz="0" w:space="0" w:color="auto"/>
              </w:divBdr>
              <w:divsChild>
                <w:div w:id="2098138873">
                  <w:marLeft w:val="0"/>
                  <w:marRight w:val="0"/>
                  <w:marTop w:val="0"/>
                  <w:marBottom w:val="0"/>
                  <w:divBdr>
                    <w:top w:val="none" w:sz="0" w:space="0" w:color="auto"/>
                    <w:left w:val="none" w:sz="0" w:space="0" w:color="auto"/>
                    <w:bottom w:val="none" w:sz="0" w:space="0" w:color="auto"/>
                    <w:right w:val="none" w:sz="0" w:space="0" w:color="auto"/>
                  </w:divBdr>
                </w:div>
                <w:div w:id="1655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214">
          <w:marLeft w:val="408"/>
          <w:marRight w:val="0"/>
          <w:marTop w:val="136"/>
          <w:marBottom w:val="136"/>
          <w:divBdr>
            <w:top w:val="none" w:sz="0" w:space="0" w:color="auto"/>
            <w:left w:val="none" w:sz="0" w:space="0" w:color="auto"/>
            <w:bottom w:val="none" w:sz="0" w:space="0" w:color="auto"/>
            <w:right w:val="none" w:sz="0" w:space="0" w:color="auto"/>
          </w:divBdr>
          <w:divsChild>
            <w:div w:id="1345857453">
              <w:marLeft w:val="0"/>
              <w:marRight w:val="0"/>
              <w:marTop w:val="0"/>
              <w:marBottom w:val="0"/>
              <w:divBdr>
                <w:top w:val="none" w:sz="0" w:space="0" w:color="auto"/>
                <w:left w:val="none" w:sz="0" w:space="0" w:color="auto"/>
                <w:bottom w:val="none" w:sz="0" w:space="0" w:color="auto"/>
                <w:right w:val="none" w:sz="0" w:space="0" w:color="auto"/>
              </w:divBdr>
            </w:div>
            <w:div w:id="514422141">
              <w:marLeft w:val="0"/>
              <w:marRight w:val="0"/>
              <w:marTop w:val="0"/>
              <w:marBottom w:val="0"/>
              <w:divBdr>
                <w:top w:val="none" w:sz="0" w:space="0" w:color="auto"/>
                <w:left w:val="none" w:sz="0" w:space="0" w:color="auto"/>
                <w:bottom w:val="none" w:sz="0" w:space="0" w:color="auto"/>
                <w:right w:val="none" w:sz="0" w:space="0" w:color="auto"/>
              </w:divBdr>
            </w:div>
            <w:div w:id="1955087939">
              <w:marLeft w:val="0"/>
              <w:marRight w:val="0"/>
              <w:marTop w:val="0"/>
              <w:marBottom w:val="0"/>
              <w:divBdr>
                <w:top w:val="none" w:sz="0" w:space="0" w:color="auto"/>
                <w:left w:val="none" w:sz="0" w:space="0" w:color="auto"/>
                <w:bottom w:val="none" w:sz="0" w:space="0" w:color="auto"/>
                <w:right w:val="none" w:sz="0" w:space="0" w:color="auto"/>
              </w:divBdr>
            </w:div>
          </w:divsChild>
        </w:div>
        <w:div w:id="2145921628">
          <w:marLeft w:val="408"/>
          <w:marRight w:val="0"/>
          <w:marTop w:val="136"/>
          <w:marBottom w:val="136"/>
          <w:divBdr>
            <w:top w:val="none" w:sz="0" w:space="0" w:color="auto"/>
            <w:left w:val="none" w:sz="0" w:space="0" w:color="auto"/>
            <w:bottom w:val="none" w:sz="0" w:space="0" w:color="auto"/>
            <w:right w:val="none" w:sz="0" w:space="0" w:color="auto"/>
          </w:divBdr>
          <w:divsChild>
            <w:div w:id="1370569774">
              <w:marLeft w:val="0"/>
              <w:marRight w:val="0"/>
              <w:marTop w:val="0"/>
              <w:marBottom w:val="0"/>
              <w:divBdr>
                <w:top w:val="none" w:sz="0" w:space="0" w:color="auto"/>
                <w:left w:val="none" w:sz="0" w:space="0" w:color="auto"/>
                <w:bottom w:val="none" w:sz="0" w:space="0" w:color="auto"/>
                <w:right w:val="none" w:sz="0" w:space="0" w:color="auto"/>
              </w:divBdr>
            </w:div>
            <w:div w:id="589899388">
              <w:marLeft w:val="0"/>
              <w:marRight w:val="0"/>
              <w:marTop w:val="0"/>
              <w:marBottom w:val="0"/>
              <w:divBdr>
                <w:top w:val="none" w:sz="0" w:space="0" w:color="auto"/>
                <w:left w:val="none" w:sz="0" w:space="0" w:color="auto"/>
                <w:bottom w:val="none" w:sz="0" w:space="0" w:color="auto"/>
                <w:right w:val="none" w:sz="0" w:space="0" w:color="auto"/>
              </w:divBdr>
              <w:divsChild>
                <w:div w:id="13622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2722">
          <w:marLeft w:val="408"/>
          <w:marRight w:val="0"/>
          <w:marTop w:val="136"/>
          <w:marBottom w:val="136"/>
          <w:divBdr>
            <w:top w:val="none" w:sz="0" w:space="0" w:color="auto"/>
            <w:left w:val="none" w:sz="0" w:space="0" w:color="auto"/>
            <w:bottom w:val="none" w:sz="0" w:space="0" w:color="auto"/>
            <w:right w:val="none" w:sz="0" w:space="0" w:color="auto"/>
          </w:divBdr>
          <w:divsChild>
            <w:div w:id="437064665">
              <w:marLeft w:val="0"/>
              <w:marRight w:val="0"/>
              <w:marTop w:val="0"/>
              <w:marBottom w:val="0"/>
              <w:divBdr>
                <w:top w:val="none" w:sz="0" w:space="0" w:color="auto"/>
                <w:left w:val="none" w:sz="0" w:space="0" w:color="auto"/>
                <w:bottom w:val="none" w:sz="0" w:space="0" w:color="auto"/>
                <w:right w:val="none" w:sz="0" w:space="0" w:color="auto"/>
              </w:divBdr>
            </w:div>
          </w:divsChild>
        </w:div>
        <w:div w:id="1296302627">
          <w:marLeft w:val="408"/>
          <w:marRight w:val="0"/>
          <w:marTop w:val="136"/>
          <w:marBottom w:val="136"/>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sChild>
        </w:div>
        <w:div w:id="630139017">
          <w:marLeft w:val="408"/>
          <w:marRight w:val="0"/>
          <w:marTop w:val="136"/>
          <w:marBottom w:val="136"/>
          <w:divBdr>
            <w:top w:val="none" w:sz="0" w:space="0" w:color="auto"/>
            <w:left w:val="none" w:sz="0" w:space="0" w:color="auto"/>
            <w:bottom w:val="none" w:sz="0" w:space="0" w:color="auto"/>
            <w:right w:val="none" w:sz="0" w:space="0" w:color="auto"/>
          </w:divBdr>
          <w:divsChild>
            <w:div w:id="208152039">
              <w:marLeft w:val="0"/>
              <w:marRight w:val="0"/>
              <w:marTop w:val="0"/>
              <w:marBottom w:val="0"/>
              <w:divBdr>
                <w:top w:val="none" w:sz="0" w:space="0" w:color="auto"/>
                <w:left w:val="none" w:sz="0" w:space="0" w:color="auto"/>
                <w:bottom w:val="none" w:sz="0" w:space="0" w:color="auto"/>
                <w:right w:val="none" w:sz="0" w:space="0" w:color="auto"/>
              </w:divBdr>
            </w:div>
          </w:divsChild>
        </w:div>
        <w:div w:id="1893731259">
          <w:marLeft w:val="408"/>
          <w:marRight w:val="0"/>
          <w:marTop w:val="136"/>
          <w:marBottom w:val="136"/>
          <w:divBdr>
            <w:top w:val="none" w:sz="0" w:space="0" w:color="auto"/>
            <w:left w:val="none" w:sz="0" w:space="0" w:color="auto"/>
            <w:bottom w:val="none" w:sz="0" w:space="0" w:color="auto"/>
            <w:right w:val="none" w:sz="0" w:space="0" w:color="auto"/>
          </w:divBdr>
          <w:divsChild>
            <w:div w:id="595211808">
              <w:marLeft w:val="0"/>
              <w:marRight w:val="0"/>
              <w:marTop w:val="0"/>
              <w:marBottom w:val="0"/>
              <w:divBdr>
                <w:top w:val="none" w:sz="0" w:space="0" w:color="auto"/>
                <w:left w:val="none" w:sz="0" w:space="0" w:color="auto"/>
                <w:bottom w:val="none" w:sz="0" w:space="0" w:color="auto"/>
                <w:right w:val="none" w:sz="0" w:space="0" w:color="auto"/>
              </w:divBdr>
            </w:div>
            <w:div w:id="189689363">
              <w:marLeft w:val="0"/>
              <w:marRight w:val="0"/>
              <w:marTop w:val="0"/>
              <w:marBottom w:val="0"/>
              <w:divBdr>
                <w:top w:val="none" w:sz="0" w:space="0" w:color="auto"/>
                <w:left w:val="none" w:sz="0" w:space="0" w:color="auto"/>
                <w:bottom w:val="none" w:sz="0" w:space="0" w:color="auto"/>
                <w:right w:val="none" w:sz="0" w:space="0" w:color="auto"/>
              </w:divBdr>
            </w:div>
          </w:divsChild>
        </w:div>
        <w:div w:id="1123618926">
          <w:marLeft w:val="408"/>
          <w:marRight w:val="0"/>
          <w:marTop w:val="136"/>
          <w:marBottom w:val="136"/>
          <w:divBdr>
            <w:top w:val="none" w:sz="0" w:space="0" w:color="auto"/>
            <w:left w:val="none" w:sz="0" w:space="0" w:color="auto"/>
            <w:bottom w:val="none" w:sz="0" w:space="0" w:color="auto"/>
            <w:right w:val="none" w:sz="0" w:space="0" w:color="auto"/>
          </w:divBdr>
          <w:divsChild>
            <w:div w:id="389380287">
              <w:marLeft w:val="0"/>
              <w:marRight w:val="0"/>
              <w:marTop w:val="0"/>
              <w:marBottom w:val="0"/>
              <w:divBdr>
                <w:top w:val="none" w:sz="0" w:space="0" w:color="auto"/>
                <w:left w:val="none" w:sz="0" w:space="0" w:color="auto"/>
                <w:bottom w:val="none" w:sz="0" w:space="0" w:color="auto"/>
                <w:right w:val="none" w:sz="0" w:space="0" w:color="auto"/>
              </w:divBdr>
            </w:div>
            <w:div w:id="1955483365">
              <w:marLeft w:val="0"/>
              <w:marRight w:val="0"/>
              <w:marTop w:val="0"/>
              <w:marBottom w:val="0"/>
              <w:divBdr>
                <w:top w:val="none" w:sz="0" w:space="0" w:color="auto"/>
                <w:left w:val="none" w:sz="0" w:space="0" w:color="auto"/>
                <w:bottom w:val="none" w:sz="0" w:space="0" w:color="auto"/>
                <w:right w:val="none" w:sz="0" w:space="0" w:color="auto"/>
              </w:divBdr>
            </w:div>
          </w:divsChild>
        </w:div>
        <w:div w:id="1549607062">
          <w:marLeft w:val="408"/>
          <w:marRight w:val="0"/>
          <w:marTop w:val="136"/>
          <w:marBottom w:val="136"/>
          <w:divBdr>
            <w:top w:val="none" w:sz="0" w:space="0" w:color="auto"/>
            <w:left w:val="none" w:sz="0" w:space="0" w:color="auto"/>
            <w:bottom w:val="none" w:sz="0" w:space="0" w:color="auto"/>
            <w:right w:val="none" w:sz="0" w:space="0" w:color="auto"/>
          </w:divBdr>
          <w:divsChild>
            <w:div w:id="1355350953">
              <w:marLeft w:val="0"/>
              <w:marRight w:val="0"/>
              <w:marTop w:val="0"/>
              <w:marBottom w:val="0"/>
              <w:divBdr>
                <w:top w:val="none" w:sz="0" w:space="0" w:color="auto"/>
                <w:left w:val="none" w:sz="0" w:space="0" w:color="auto"/>
                <w:bottom w:val="none" w:sz="0" w:space="0" w:color="auto"/>
                <w:right w:val="none" w:sz="0" w:space="0" w:color="auto"/>
              </w:divBdr>
            </w:div>
            <w:div w:id="1714427331">
              <w:marLeft w:val="0"/>
              <w:marRight w:val="0"/>
              <w:marTop w:val="0"/>
              <w:marBottom w:val="0"/>
              <w:divBdr>
                <w:top w:val="none" w:sz="0" w:space="0" w:color="auto"/>
                <w:left w:val="none" w:sz="0" w:space="0" w:color="auto"/>
                <w:bottom w:val="none" w:sz="0" w:space="0" w:color="auto"/>
                <w:right w:val="none" w:sz="0" w:space="0" w:color="auto"/>
              </w:divBdr>
            </w:div>
          </w:divsChild>
        </w:div>
        <w:div w:id="220794078">
          <w:marLeft w:val="408"/>
          <w:marRight w:val="0"/>
          <w:marTop w:val="136"/>
          <w:marBottom w:val="136"/>
          <w:divBdr>
            <w:top w:val="none" w:sz="0" w:space="0" w:color="auto"/>
            <w:left w:val="none" w:sz="0" w:space="0" w:color="auto"/>
            <w:bottom w:val="none" w:sz="0" w:space="0" w:color="auto"/>
            <w:right w:val="none" w:sz="0" w:space="0" w:color="auto"/>
          </w:divBdr>
          <w:divsChild>
            <w:div w:id="904141664">
              <w:marLeft w:val="0"/>
              <w:marRight w:val="0"/>
              <w:marTop w:val="0"/>
              <w:marBottom w:val="0"/>
              <w:divBdr>
                <w:top w:val="none" w:sz="0" w:space="0" w:color="auto"/>
                <w:left w:val="none" w:sz="0" w:space="0" w:color="auto"/>
                <w:bottom w:val="none" w:sz="0" w:space="0" w:color="auto"/>
                <w:right w:val="none" w:sz="0" w:space="0" w:color="auto"/>
              </w:divBdr>
            </w:div>
            <w:div w:id="1018432853">
              <w:marLeft w:val="0"/>
              <w:marRight w:val="0"/>
              <w:marTop w:val="0"/>
              <w:marBottom w:val="0"/>
              <w:divBdr>
                <w:top w:val="none" w:sz="0" w:space="0" w:color="auto"/>
                <w:left w:val="none" w:sz="0" w:space="0" w:color="auto"/>
                <w:bottom w:val="none" w:sz="0" w:space="0" w:color="auto"/>
                <w:right w:val="none" w:sz="0" w:space="0" w:color="auto"/>
              </w:divBdr>
            </w:div>
          </w:divsChild>
        </w:div>
        <w:div w:id="791559623">
          <w:marLeft w:val="408"/>
          <w:marRight w:val="0"/>
          <w:marTop w:val="136"/>
          <w:marBottom w:val="136"/>
          <w:divBdr>
            <w:top w:val="none" w:sz="0" w:space="0" w:color="auto"/>
            <w:left w:val="none" w:sz="0" w:space="0" w:color="auto"/>
            <w:bottom w:val="none" w:sz="0" w:space="0" w:color="auto"/>
            <w:right w:val="none" w:sz="0" w:space="0" w:color="auto"/>
          </w:divBdr>
          <w:divsChild>
            <w:div w:id="552427617">
              <w:marLeft w:val="0"/>
              <w:marRight w:val="0"/>
              <w:marTop w:val="0"/>
              <w:marBottom w:val="0"/>
              <w:divBdr>
                <w:top w:val="none" w:sz="0" w:space="0" w:color="auto"/>
                <w:left w:val="none" w:sz="0" w:space="0" w:color="auto"/>
                <w:bottom w:val="none" w:sz="0" w:space="0" w:color="auto"/>
                <w:right w:val="none" w:sz="0" w:space="0" w:color="auto"/>
              </w:divBdr>
            </w:div>
            <w:div w:id="2116243112">
              <w:marLeft w:val="0"/>
              <w:marRight w:val="0"/>
              <w:marTop w:val="0"/>
              <w:marBottom w:val="0"/>
              <w:divBdr>
                <w:top w:val="none" w:sz="0" w:space="0" w:color="auto"/>
                <w:left w:val="none" w:sz="0" w:space="0" w:color="auto"/>
                <w:bottom w:val="none" w:sz="0" w:space="0" w:color="auto"/>
                <w:right w:val="none" w:sz="0" w:space="0" w:color="auto"/>
              </w:divBdr>
            </w:div>
          </w:divsChild>
        </w:div>
        <w:div w:id="1638532559">
          <w:marLeft w:val="408"/>
          <w:marRight w:val="0"/>
          <w:marTop w:val="136"/>
          <w:marBottom w:val="136"/>
          <w:divBdr>
            <w:top w:val="none" w:sz="0" w:space="0" w:color="auto"/>
            <w:left w:val="none" w:sz="0" w:space="0" w:color="auto"/>
            <w:bottom w:val="none" w:sz="0" w:space="0" w:color="auto"/>
            <w:right w:val="none" w:sz="0" w:space="0" w:color="auto"/>
          </w:divBdr>
          <w:divsChild>
            <w:div w:id="372311876">
              <w:marLeft w:val="0"/>
              <w:marRight w:val="0"/>
              <w:marTop w:val="0"/>
              <w:marBottom w:val="0"/>
              <w:divBdr>
                <w:top w:val="none" w:sz="0" w:space="0" w:color="auto"/>
                <w:left w:val="none" w:sz="0" w:space="0" w:color="auto"/>
                <w:bottom w:val="none" w:sz="0" w:space="0" w:color="auto"/>
                <w:right w:val="none" w:sz="0" w:space="0" w:color="auto"/>
              </w:divBdr>
            </w:div>
            <w:div w:id="12419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2016-02-24T02:19:00Z</dcterms:created>
  <dcterms:modified xsi:type="dcterms:W3CDTF">2016-02-24T02:19:00Z</dcterms:modified>
</cp:coreProperties>
</file>